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MALE UAV Pipeline Test Report</w:t>
      </w:r>
    </w:p>
    <w:p>
      <w:pPr>
        <w:spacing w:after="100"/>
      </w:pPr>
      <w:r>
        <w:rPr>
          <w:color w:val="52677E"/>
          <w:sz w:val="22"/>
        </w:rPr>
        <w:t>End-to-end data flow, model behavior, controls, and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8496"/>
      </w:tblGrid>
      <w:tr>
        <w:tc>
          <w:tcPr>
            <w:tcW w:type="dxa" w:w="5112"/>
            <w:vAlign w:val="center"/>
            <w:shd w:fill="174A70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5112"/>
            <w:vAlign w:val="center"/>
            <w:shd w:fill="EAF1F6"/>
          </w:tcPr>
          <w:p>
            <w:pPr>
              <w:spacing w:after="20"/>
            </w:pPr>
            <w:r/>
            <w:r>
              <w:rPr>
                <w:b/>
                <w:color w:val="142742"/>
                <w:sz w:val="20"/>
              </w:rPr>
              <w:t>Pipeline connectivity passed; health assessment and dashboard data integrity have material faults.</w:t>
            </w:r>
          </w:p>
        </w:tc>
      </w:tr>
    </w:tbl>
    <w:p>
      <w:pPr>
        <w:spacing w:before="140" w:after="100"/>
      </w:pPr>
      <w:r>
        <w:rPr>
          <w:b/>
        </w:rPr>
        <w:t xml:space="preserve">Test date: </w:t>
      </w:r>
      <w:r>
        <w:t xml:space="preserve">25 September 2026    </w:t>
      </w:r>
      <w:r>
        <w:rPr>
          <w:b/>
        </w:rPr>
        <w:t xml:space="preserve">Scope: </w:t>
      </w:r>
      <w:r>
        <w:t>Layers 1–7, Redis streams, model inputs/outputs, manual controls, and dashboard adapter.</w:t>
      </w:r>
    </w:p>
    <w:p>
      <w:pPr>
        <w:spacing w:after="100"/>
      </w:pPr>
      <w:r>
        <w:t>Retest conclusion. The reported data-path and dashboard-integrity faults have been corrected in code: dashboard sensors now come only from valid, fresh Layer 2 frames; controls replace previous override flags and carry revisions/provenance through Layers 2–5 and the assessment; profile settings preserve requested values; unavailable residual/model/RUL values are no longer replaced with nominal-looking defaults. Layer 6 now blocks the bundled synthetic artifact and windows with insufficient per-channel coverage. The current classifier and RUL outputs remain unavailable for decision use until verified data and validated priors are supplied.</w:t>
      </w:r>
    </w:p>
    <w:p>
      <w:pPr>
        <w:pStyle w:val="Heading1"/>
        <w:keepNext/>
        <w:spacing w:after="100"/>
      </w:pPr>
      <w:r>
        <w:t>Test execution and coverage</w:t>
      </w:r>
    </w:p>
    <w:p>
      <w:pPr>
        <w:pStyle w:val="ListBullet"/>
        <w:spacing w:after="100"/>
      </w:pPr>
      <w:r>
        <w:t>Automated suite after fixes: 69 tests passed; 1 optional legacy-dataset test skipped. Redis-backed tests ran against a temporary local Redis server, which was stopped after the suite.</w:t>
      </w:r>
    </w:p>
    <w:p>
      <w:pPr>
        <w:pStyle w:val="ListBullet"/>
        <w:spacing w:after="100"/>
      </w:pPr>
      <w:r>
        <w:t>Retest coverage: unit and Redis integration checks cover Layers 1–7 contracts, synchronized frame validity and staleness, timestamp/provenance propagation, fixed-window availability, classifier gates, Layer 7 publication, and dashboard adaptation. Compilation passed for app, layers 1–7, dashboard, and tests.</w:t>
      </w:r>
    </w:p>
    <w:p>
      <w:pPr>
        <w:pStyle w:val="ListBullet"/>
        <w:spacing w:after="100"/>
      </w:pPr>
      <w:r>
        <w:t>Current live visual dashboard retest was not repeated. The prior Streamlit AppTest was inconclusive because automatic refresh prevented completion. No claim of full visual UI verification is made.</w:t>
      </w:r>
    </w:p>
    <w:p>
      <w:pPr>
        <w:pStyle w:val="ListBullet"/>
        <w:spacing w:after="100"/>
      </w:pPr>
      <w:r>
        <w:t>Control-path retest: code now increments and returns control_revision, replaces active override flags on each control request, passes provenance through synchronization and feature windows, and marks the dashboard assessment pending until revisions match. Focused automated tests verify the Layer 2 → Layer 3 → Layer 4 → Layer 5 context path.</w:t>
      </w:r>
    </w:p>
    <w:p>
      <w:pPr>
        <w:pStyle w:val="ListBullet"/>
        <w:spacing w:after="100"/>
      </w:pPr>
      <w:r>
        <w:t>Manual UI interaction and browser rendering remain unverified after these code changes; the API/control contracts and dashboard payload formatting were checked with unit tests and compilation.</w:t>
      </w:r>
    </w:p>
    <w:p>
      <w:pPr>
        <w:pStyle w:val="Heading1"/>
        <w:keepNext/>
        <w:spacing w:after="100"/>
      </w:pPr>
      <w:r>
        <w:t>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131"/>
        <w:gridCol w:w="4680"/>
        <w:gridCol w:w="2592"/>
      </w:tblGrid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174F78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shd w:fill="174F78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Retest status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shd w:fill="174F78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Evidence and remaining dependency</w:t>
            </w:r>
          </w:p>
        </w:tc>
        <w:tc>
          <w:tcPr>
            <w:tcW w:type="dxa" w:w="2592"/>
            <w:shd w:fill="174F78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The synthetic, unverified Layer 6 artifact is gated. No classifier prediction is emitted from it. Verified model data is still required for decision use.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Per-channel residual availability below 0.05 blocks classification. Simulator cadence is 2 Hz; held points on the 100 Hz grid are not new observations.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Fuel-flow prediction needs FUEL_DENSITY_KG_L. Without it, flow residual coverage is zero and classifier inference is gated.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Surfaced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PINN out-of-domain and missing-input outputs remain unavailable. Model domains need calibration against the intended operating envelope.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Control revisions and simulated provenance pass through frames/windows. Assessment pending state compares revisions; focused tests cover this path.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Dashboard joins the latest measurement-updated EKF result and its timestamp. Raw sensors have no simulator fallback.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Atmosphere API preserves requested altitude and temperature. ISA_STANDARD is the initial UI selection.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Each manual control request replaces the active override flags; omitted controls are cleared.</w:t>
            </w:r>
          </w:p>
        </w:tc>
        <w:tc>
          <w:tcPr>
            <w:tcW w:type="dxa" w:w="2592"/>
          </w:tcPr>
          <w:p/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Mitigated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Risk-derived health is no longer labeled EHI. Unvalidated RUL is shown as unavailable.</w:t>
            </w:r>
          </w:p>
        </w:tc>
        <w:tc>
          <w:tcPr>
            <w:tcW w:type="dxa" w:w="2592"/>
          </w:tcPr>
          <w:p/>
        </w:tc>
      </w:tr>
    </w:tbl>
    <w:p>
      <w:pPr>
        <w:pStyle w:val="Heading1"/>
        <w:keepNext/>
        <w:spacing w:after="100"/>
      </w:pPr>
      <w:r>
        <w:t>Data contract and architecture notes</w:t>
      </w:r>
    </w:p>
    <w:p>
      <w:pPr>
        <w:pStyle w:val="ListBullet"/>
        <w:spacing w:after="100"/>
      </w:pPr>
      <w:r>
        <w:t>Dashboard sensor contract after fixes: raw values are sourced exclusively from a fresh, active-session Layer 2 frame, either directly from engine:synced:frames or from a valid Layer 2 frame embedded in the assessment. Missing, stale, or invalid channels display as unavailable. PINN predictions and EKF residuals remain separate values.</w:t>
      </w:r>
    </w:p>
    <w:p>
      <w:pPr>
        <w:pStyle w:val="ListBullet"/>
        <w:spacing w:after="100"/>
      </w:pPr>
      <w:r>
        <w:t>Layer 5 emitted 672 named features, matching the loaded LightGBM artifact. Isolation Forest intentionally uses a 222-feature subset. The repository report and v4 registry show 672 features; a separate integration note claiming 690 is stale.</w:t>
      </w:r>
    </w:p>
    <w:p>
      <w:pPr>
        <w:pStyle w:val="ListBullet"/>
        <w:spacing w:after="100"/>
      </w:pPr>
      <w:r>
        <w:t>Layer 7 risk remains advisory. Numeric RUL is hidden unless its prior is validated for decisions. The checked-in Layer 6 model is a synthetic development artifact; the service now withholds its classification. No real aircraft data, maintenance outcomes, or verified healthy sorties were introduced by these fixes.</w:t>
      </w:r>
    </w:p>
    <w:p>
      <w:pPr>
        <w:pStyle w:val="Heading1"/>
        <w:keepNext/>
        <w:spacing w:after="100"/>
      </w:pPr>
      <w:r>
        <w:t>Corrections applied</w:t>
      </w:r>
    </w:p>
    <w:p>
      <w:pPr>
        <w:pStyle w:val="ListBullet"/>
        <w:spacing w:after="100"/>
      </w:pPr>
      <w:r>
        <w:t>Dashboard sensor values use Layer 2 only and invalid/stale values render as unavailable; fabricated sensor, health, and RUL defaults were removed.</w:t>
      </w:r>
    </w:p>
    <w:p>
      <w:pPr>
        <w:pStyle w:val="ListBullet"/>
        <w:spacing w:after="100"/>
      </w:pPr>
      <w:r>
        <w:t>Control revision and simulated-input provenance now travel with the synchronized frame and through the physics, EKF, window, classifier assessment, and dashboard joins. Override selection is replaced per request.</w:t>
      </w:r>
    </w:p>
    <w:p>
      <w:pPr>
        <w:pStyle w:val="ListBullet"/>
        <w:spacing w:after="100"/>
      </w:pPr>
      <w:r>
        <w:t>Classifier inference now fails closed for the current unverified artifact and when any residual channel has less than 0.05 availability. PINN out-of-domain outputs remain explicitly unavailable; fuel-flow physics still requires FUEL_DENSITY_KG_L.</w:t>
      </w:r>
    </w:p>
    <w:p>
      <w:pPr>
        <w:pStyle w:val="ListBullet"/>
        <w:spacing w:after="100"/>
      </w:pPr>
      <w:r>
        <w:t>The dashboard distinguishes risk-derived health from an independent health index and withholds unvalidated RUL values. Model accuracy and RUL validity still require independently verified operational data and domain evaluation.</w:t>
      </w:r>
    </w:p>
    <w:p>
      <w:pPr>
        <w:pStyle w:val="ListBullet"/>
        <w:spacing w:after="100"/>
      </w:pPr>
      <w:r>
        <w:t>The dashboard takes its residuals from the latest valid measurement-updated EKF record and carries the residual timestamp. Per-channel raw sensor age/source/rate/validity remain exposed.</w:t>
      </w:r>
    </w:p>
    <w:p>
      <w:pPr>
        <w:pStyle w:val="Heading1"/>
        <w:keepNext/>
        <w:spacing w:after="100"/>
      </w:pPr>
      <w:r>
        <w:t>Limitations</w:t>
      </w:r>
    </w:p>
    <w:p>
      <w:pPr>
        <w:spacing w:after="100"/>
      </w:pPr>
      <w:r>
        <w:t>Limits after retest: tests used the simulator, bundled synthetic artifacts, and local Redis. They validate code-path behavior and data contracts, not aircraft diagnostic accuracy or operational suitability. The simulator emits at 2 Hz while Layer 2 uses a 100 Hz grid with held values between fresh samples. Fuel-flow predictions need configured density. The current PINN training domains can still reject simulator states. These data/model limitations require calibrated artifacts and representative, independently verified engine data; code changes cannot establish those facts.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6"/>
        <w:sz w:val="16"/>
      </w:rPr>
      <w:t>MALE UAV Pipeline Test Report  |  25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0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A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A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427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MALE UAV Pipeline Test Report</dc:title>
  <dc:subject>End-to-end test results for the MALE UAV engine simulation pipeline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