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LESIONS TUMORALES MULTIPLES</w:t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dorsale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la Chlorhexidine aqueuse.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Champage habituelle.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5 ml de rapidocaine par lésion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avec une lame de bistouri 15.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lésion.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 la lésion.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Lavage et contrôle de l’hémostase avant fermeture.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du pan profond avec du Vicryl 3-0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après contrôle avec du prolène 4-0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 la position du patient pour ablation des autres lésions.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Aucune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Pommade fucidine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Ablation des fils à 8 jours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Tilur 60 mg po 3x jour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2022-03-31T12:20:58Z</dcterms:modified>
</cp:coreProperties>
</file>