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CURE D’HERNIE OMBILICALE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au spray de Bétadine®.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Positionnement de la patiente en décubitus dorsal.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Prescription et infiltration de 1gr de Cinacef® en IV avant les incisions.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pour les incisions de Xylocaïne® 1%.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à l’aide d’une lame n°11.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1’000ml de solution tumescente (1l NaCl 0,9%, 20cc de Xylocaïne® 2%, 10cc sérum bicarbonaté 8,4%, 1cc adrénaline 1%) distribuée au niveau épigastrique, hypogastrique et aux flancs.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Par la suite, incision péri-ombilicale et individualisation de l’ombilic, Contrôle de l’hémostase.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l’excès graisso-cutané sous-ombilical.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Localisation du sac hernaire.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continuité par une suture en superposition.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Extériorisation de l’ombilic.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par trois points de Vicryl® de Monocril® 3-0 et mis.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Repos pendant 48 heures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Analgésique prescript par l’anesthésiste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Cinacef® 1gr 2x/j pendant 48 heures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Maintenir les drains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Tenir la patiente en position semi-assise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Stimulation de mobilisation des membres inférieurs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2022-03-31T12:09:38Z</dcterms:modified>
</cp:coreProperties>
</file>