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Lifting cervico-facial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20ml de solution tumescente (1l NaCl 0,9%, 20cc de Xylocaïne® 2%, 10cc sérum bicarbonaté 8,4%, 1cc adrénaline 1%) sous-cutanée au niveau cervico-facial.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péri-auriculaire à l’aide d’une lame de bistouri n°15.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sous-cutané cervico-facial.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muscle platysma.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trois points de suspension avec PDS du muscle platysma au périoste mastoïdien.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Plicature du smas avec quatre points de PDS 3-0 pour donner l’effet de lifting au niveau facial.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l’excédent cutané autour de l’oreille et de la partie mastoïdienne.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plaie avec plusieurs points de Prolène® 5-0 et 6-0.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drain aspiratif et contrôle de l’effet lifteur.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2022-03-30T14:58:38Z</dcterms:modified>
</cp:coreProperties>
</file>