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528" w:right="0" w:firstLine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Lipostructure des pôles supéro-externes des seins avec prise de greffes de la face interne et externe des cuisses.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Prélèvement de greffes de graisse 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Bétadine.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0.5ml de Rapidocain® avec adrénaline aux incisions décidées en pré-opératoire.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Introduction d’une canule de 2mm Ø et infiltration de 50ml de solution tumescente (1l NaCl 0,9%, 20cc de Lidocaïne® 2%, 10cc sérum bicarbonaté 8,4%, 1cc adrénaline 1%).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50ml de graisse par sites choisis avec une canule de prélèvement de 2mm Ø et une seringue luer lock.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sites de prélèvement avec un point de Prolène® 4-0.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Préparation de la greffe de graisse par la technique de Coleman avec une centrifugeuse à 3'000 rpm pendant trois minutes.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Par la suite, ablation de la partie liquide et préparation de la graisse solide.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Lipostructure des pôles supéro-externes des seins 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0.5ml de Rapidocain® avec adrénaline aux incisions décidées en pré-opératoire.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2mm à l’aide d’une lame n°11.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Greffes de 47ml de graisse au niveau du cadran supéro-externe du sein droit, et 37ml au niveau du cadran supéro-externe du sein gauche.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avec du Prolène®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  <w:r/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Zinat® 250ml per os1x/j pdt 7 jours.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600 mg per os 3x/j pdt 7 jours.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jours.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dans une semaine.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2022-03-31T08:12:02Z</dcterms:modified>
</cp:coreProperties>
</file>