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>
        <w:rPr>
          <w:lang w:val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lipostructure du visage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Racoltement de 20ml de graisse avec une seringue de 10ml et une canule de racoltement pendant les premiers temps opératoires.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Centrifugation du matériel lipoaspiré avec une centrifugeuse de COLLEMAN.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Par la suite, le matériel récupéré est nettoyé de l’excès liquide et de l’excédent d’huile et est chargé dans des seringues de 1ml.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au niveau de la pommette avec une aiguille de 19G.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2ml de graisse dans chaque cernes avec une canule d’infiltration de 1ml de diamètre.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Garder la tête à 45°.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Contrôle du pansement à 12h.</w:t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850" w:header="708" w:footer="53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-71437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5.6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9</cp:revision>
  <dcterms:created xsi:type="dcterms:W3CDTF">2022-03-21T14:35:00Z</dcterms:created>
  <dcterms:modified xsi:type="dcterms:W3CDTF">2022-03-31T08:13:29Z</dcterms:modified>
</cp:coreProperties>
</file>