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20ml de solution tumescente (1l NaCl 0,9%, 20cc de Xylocaïne® 2%, 10cc sérum bicarbonaté 8,4%, 1cc adrénaline 1%) sous-cutanée au niveau cervico-facial.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péri-auriculaire à l’aide d’une lame de bistouri n°15.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cervico-facial.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muscle platysma.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trois points de suspension avec PDS du muscle platysma au périoste mastoïdien.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Plicature du smas avec quatre points de PDS 3-0 pour donner l’effet de lifting au niveau facial.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l’excédent cutané autour de l’oreille et de la partie mastoïdienne.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plaie avec plusieurs points de Prolène® 5-0 et 6-0.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drain aspiratif et contrôle de l’effet lifteur.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2022-03-31T11:50:27Z</dcterms:modified>
</cp:coreProperties>
</file>