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supra-pubienne d’environ 30cm, d’après le dessin établi en préopératoire, jusqu’à atteindre le fascia musculaire.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Surélèvement du lambeau de peau sous-ombilical.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 l’excès cutané, 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Introduction d’un drain aspiratif.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à l’aide de trois points de Vycril® 3-0 et un surjet de Monocril® 3-0 à la peau.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Analgésique prescrit par l’anesthésiste.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Mise en place d’une ceinture abdominale à porter pendant 3 semaines.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des pansements à 24h.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2022-03-31T11:45:18Z</dcterms:modified>
</cp:coreProperties>
</file>