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Positionnement du patient en décubitus dorsal.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à la Clorexidine aqueuse.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préalable de 500mg de Zinacef® en préopératoire et Tramal 50mg per os 30 minutes avant l’opération.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Nettoyage à la Chlorexidine aqueuse.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et champtage habituel.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5ml de solution tumescente (1l NaCl 0,9%, 20cc de Lidocain® 2%, 10cc sérum bicarbonaté 8,4%, 1cc adrénaline 1%) le long du sillon rétro-auriculaire.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à 1cm cranial du sillon auriculaire.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Dissection du cartilage auriculaire dans sa totalité postérieure.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Localisation du fascia aponevrotique mastoïdienne.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de trois points de PDS 3-0 de traction en « U » pour ramener la conque au fascia cranial.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ces trois points de PDS et confirmation de la position du pavillon.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d’un croissant d’excédent de peau.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 et fermeture de la plaie avec un surjet de Prolène® 4-0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La même procédure est effectuée du côté contre-latéral.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Pansements avec du Jelonette® en compresse.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Aucune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Brufen® 400 mg per os 3x/j pdt 7 jours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Dafalgan® 1gr per os 4x/ pdt 7 jours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Ablation des fils à 10j post-opératoire.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2022-03-31T08:17:07Z</dcterms:modified>
</cp:coreProperties>
</file>