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PEXIE MAMMAIRE A PEDICULE SUPERIEUR :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 Mammostat à la base du sein, désépidermisation péri-aréolaire.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sous-mammaire et tunnellisation de l’espace rétro-mammaire jusqu’à atteindre le fascia du muscle grand pectoral.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l’excès cutané, d’après le dessin établi en pré-opératoire.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Bi-partition glandulaire.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Confection d’un lambeau Porte-PAM à base supérieure.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Remodelage glandulaire avec suspension au fascia du muscle grand pectoral avec un PDS 2-0.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Rapprochement des piliers latéraux et médiaux et fermeture de l’ensemble afin de lui donner sa nouvelle forme.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La même procédure est effectuée du côté contre-latéral.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 drain aspiratif dans l’espace sous-mammaire des deux côtés.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l’aréole par des points de Monocril® 3-0 et un surjet de Monocril® 4-0.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Analgésique prescrit par l’anesthésiste.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Mise en place d’une gaine compressive à porter pendant 3 semaines.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Contrôle des pansements à 24h.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2022-03-31T08:20:32Z</dcterms:modified>
</cp:coreProperties>
</file>