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</w:pPr>
      <w:r/>
      <w:sdt>
        <w:sdtPr>
          <w15:appearance w15:val="boundingBox"/>
          <w:tag w:val="axenita:documentRecipient.addressBlock"/>
          <w:rPr/>
        </w:sdtPr>
        <w:sdtContent>
          <w: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/>
      <w:r/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CH" w:eastAsia="fr-FR"/>
        </w:rPr>
      </w:r>
      <w:r/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en-GB" w:eastAsia="fr-FR"/>
        </w:rPr>
        <w:t xml:space="preserve">COMPTE-RENDU OPERATOIRE</w:t>
      </w:r>
      <w:r/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en-GB" w:eastAsia="fr-FR"/>
        </w:rPr>
      </w:r>
      <w:r/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/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/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Pexie péri-aréolaire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/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patiente est changée dans la position demi-assise.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Dessin autour de l’aréole et désepidermisation d’un anneau péri-aréolaire.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l’incision afin de redrapé la peau autour de l’aréole avec plusieurs points sous-cutanés de Monocril® 4-0 et un surjet intradermique de Prolène® 4-0.</w:t>
      </w:r>
      <w:r/>
    </w:p>
    <w:p>
      <w:pPr>
        <w:ind w:left="0" w:right="0" w:firstLine="0"/>
        <w:jc w:val="both"/>
        <w:spacing w:lineRule="auto" w:line="240" w:after="0"/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La même procédure est effectuée du côté contre-latérale.</w:t>
      </w:r>
      <w:r/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Complications : 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Aucune</w:t>
      </w:r>
      <w:r>
        <w:rPr>
          <w:b w:val="false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t xml:space="preserve">Soins Post opératoire :</w:t>
      </w:r>
      <w:r/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CH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Analgésique prescrit par l’anesthésiste.</w:t>
      </w:r>
      <w:r>
        <w:rPr>
          <w:b w:val="false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t xml:space="preserve">Contrôle des pansements à 24h.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CH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CH" w:eastAsia="fr-FR"/>
        </w:rPr>
      </w:r>
      <w:r/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p>
      <w:pPr>
        <w:spacing w:after="0"/>
        <w:rPr>
          <w:lang w:val="fr-CH"/>
        </w:rPr>
      </w:pPr>
      <w:r>
        <w:rPr>
          <w:lang w:val="fr-CH"/>
        </w:rPr>
      </w:r>
      <w:r>
        <w:rPr>
          <w:lang w:val="fr-CH"/>
        </w:rPr>
      </w:r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2022-03-31T08:21:58Z</dcterms:modified>
</cp:coreProperties>
</file>