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préalable de 1gr intraveineux de Zinacef®.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2ml de solution tumescente (11 NaCl 0.9%, 20cc de Lidocaïne® 2%, 10cc sérum bicarbonaté 8.4%, 1cc adrénaline 1%) à la base de chaque mamelon.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Dessin circulaire à 1cm de la base mamelonnaire.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cunéiforme de l’excès mamelonnaire.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Reconstruction de la pointe du mamelon avec plusieurs points de Vycril® 3-0 pour fermer la plaie.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avec plusieurs points de Vycril® 3-0 et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Pansements avec du Tegaderme©.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Application de pommade Fucidine® 2x/j.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Ablation des points de suture à 12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à 48 heures.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Brufen® 400 mg per os 3x/j pdt 5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Dafalgan® 1 gr per os 4x/ pdt 5 jours.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2022-03-31T08:28:28Z</dcterms:modified>
</cp:coreProperties>
</file>