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Plastie de réduction des mamelons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Dessin établi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à l’Octenisept® aqueuse.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deux champs troués.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d’anesthésie de 2ml Xylocaïne® 1% avec Epinéphrine à la base du mamelon.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Fixation du mamelon avec Prolène® 3-0.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circulaire de la partie hypertrophiée.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à l’aide d’une pince mono-polaire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à deux plans avec du Vycril® rapide 4-0 et Prolène® 3-0.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Correction des oreilles résiduelles.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pansement Opsite et pommade Fucidine®.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Même protocole opératoire effectué sur l’autre mamelon.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Brufen® 400 mg per os 3x/j pdt 5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Dafalgan® 1 gr per os 4x/ pdt 5 jours.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dans une semaine.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2022-03-31T08:33:44Z</dcterms:modified>
</cp:coreProperties>
</file>