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</w:pPr>
      <w:r/>
      <w:sdt>
        <w:sdtPr>
          <w15:appearance w15:val="boundingBox"/>
          <w:tag w:val="axenita:documentRecipient.addressBlock"/>
          <w:rPr/>
        </w:sdtPr>
        <w:sdtContent>
          <w: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/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t xml:space="preserve">COMPTE-RENDU OPERATOIRE</w:t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/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Prélèvement de la greffe au niveau des faces externe des cuisses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aux points d’incision de 0.5ml de Lidocaïne® 2% avec adrénaline.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avec une lame de bistouri n° 11.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50ml de solution tumescente (DOSAGE ???) avec une canule d’infiltration de 2mm de diamètre.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25ml de graisse à l’aide d’une canule de racoltement de 3mm de diamètre.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au souteneur avec un point de Prolène® 4-0.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/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Complications : </w:t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Soins Post opératoire :</w:t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/>
      <w:r>
        <w:rPr>
          <w:lang w:val="fr-CH"/>
        </w:rPr>
      </w:r>
      <w:r>
        <w:rPr>
          <w:lang w:val="fr-CH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2022-03-31T08:35:18Z</dcterms:modified>
</cp:coreProperties>
</file>