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Prélèvement de greffes de graisse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Bétadine.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0.5ml de Rapidocain® avec adrénaline aux incisions décidées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Introduction d’une canule de 2mm Ø et infiltration de 3’500ml de solution tumescente (1l NaCl 0,9%, 20cc de Lidocaïne® 2%, 10cc sérum bicarbonaté 8,4%, 1cc adrénaline 1%).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la graisse aux sites choisis avec une canule de prélèvement de 2mm Ø et une seringue luer lock.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sites de prélèvement avec un point de Prolène® 4-0.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Préparation de la greffe de graisse par la technique du Lipocollector.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Transfert de graisse aux fesses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0.5ml de Rapidocain® avec adrénaline aux incisions décidées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2mm à l’aide d’une lame n°11.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Greffes de 200ml de graisse dans chaque fesse.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avec du Prolène® 4-0.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Aucune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Analgésique prescrit par l’anesthésiste.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panty à porter pendant 3 semaines.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des pansements à 24h.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 mg per os 3x/j pdt 7 jours.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7 jours.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Changement des pansements à 48h.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2022-03-31T08:36:46Z</dcterms:modified>
</cp:coreProperties>
</file>