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Réduction mammaire à pédicule supérieur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 Mammostat à la base du sein, désépidermisation péri-aréolaire d’après le dessin établi en préopératoire.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Confection d’un lambeau Porte-PAM à base supérieure d’environ 1cm d’épaisseur.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sous-mammaire et tunnellisation de l’espace rétro-mammaire jusqu’à atteindre le fascia du muscle grand pectoral.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l’excès glandulaire, d’après le dessin établi en pré-opératoire.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Remodelage glandulaire avec suspension au fascia du muscle grand pectoral avec un PDS 2-0.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Rapprochement des piliers latéraux et médiaux et fermeture de l’ensemble afin de lui donner sa nouvelle forme.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contra-latéral.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 drain aspiratif dans l’espace sous-mammaire des deux côtés.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l’aréole par des points de Monocril® 3-0 et un surjet de Monocril® 4-0.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des autres incisions par des points de Monocril® 3-0 et un surjet intradermique de Monocril® 3-0. 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2022-03-31T09:00:21Z</dcterms:modified>
</cp:coreProperties>
</file>