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Reprise de la cicatrice sous-mammaire bilatérale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Administration préalable d’Augmentin® 500mg per os 24H et 12H avant l’intervention.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autour de la cicatrice de 10ml de Xylocaine® 2% avec adrénaline.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cicatrice et des tissus cicatriciels jusqu’à atteindre le plan pré-musculaire.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Fixation de la cicatrice au plan musculaire de la paroie thoracique avec 4 points de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Vycril® 3-0.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à deux plans avec du Vycril® 3-0 et un surjet intra-dermique avec du Prolène®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2022-03-31T09:01:20Z</dcterms:modified>
</cp:coreProperties>
</file>