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SEPTORHINOPLASTIE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Patiente en décubitus dorsal avec la tête sur une têtière.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et champtage habituel.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intraveineuse de 1gr d’Augmentin® iv en pré-opératoire.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sous-cutanée de 10ml de solution anesthésiante avec adrénaline (Xylocaïne 1% avec adrénaline 100:000).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des narines avec excision des cils.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mèche dans chaque fosse nasale.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marginale à l’intérieur des fosses nasales.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sous-cutané en respectant l’intégrité des cartilages alaires.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la colonelle en forme de « V ».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 avec une pincette bipolaire.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Rétraction de la peau de la pointe du nez avec un écarteur à double griffe.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aux ciseaux de la partie postérieure des cartilages alaires et du cartilage triangulaire.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peau sous-cutanée jusqu’au niveau de la partie dorsale des os propres du nez et sa partie latérale.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bord antérieure de la cloison.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la muqueuse de la cloison.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muqueuse de la cloison dans la fosse nasale droite et gauche à l’aide d’un décolleur en respectant les périchondres.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l’excès cartilagineux de la cloison à l’aide d’une lame de bistouri n°15.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du dos du nez jusqu’à atteindre l’effet désiré avec une râpe.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de la pointe.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partie caudale des cartilages alaires.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Suture inter-caudale.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cinq points de transfixiante de la cloison pour fixer la muqueuse nasale.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de la colonelle avec cinq points de Prolène® 6-0.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muqueuse avec plusieurs points de Prolène® rapide 4-0.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Aspiration du cavum.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et mise en place de Steri-Strip® et d’un plâtre.</w:t>
      </w:r>
      <w:r>
        <w:rPr>
          <w:lang w:val="fr-FR"/>
        </w:rPr>
      </w:r>
      <w:r/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mèche de Merocel® dans chaque fosse nasale.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Tête à 45°.</w:t>
      </w:r>
      <w:r>
        <w:rPr>
          <w:b w:val="false"/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Application du coussin accu froid.</w:t>
      </w:r>
      <w:r>
        <w:rPr>
          <w:b w:val="false"/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Brufen® 400 mg per os 3x/j pdt 7 jours</w:t>
      </w:r>
      <w:r>
        <w:rPr>
          <w:b w:val="false"/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Dafalgan® 1gr per os 4x/ pdt 7 jours</w:t>
      </w:r>
      <w:r>
        <w:rPr>
          <w:b w:val="false"/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Xinat® 250mg 2x/j pdt 10 jours</w:t>
      </w:r>
      <w:r>
        <w:rPr>
          <w:b w:val="false"/>
          <w:lang w:val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Ablation des mèches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Facturation</cp:lastModifiedBy>
  <cp:revision>10</cp:revision>
  <dcterms:created xsi:type="dcterms:W3CDTF">2022-03-21T14:35:00Z</dcterms:created>
  <dcterms:modified xsi:type="dcterms:W3CDTF">2022-04-13T13:48:41Z</dcterms:modified>
</cp:coreProperties>
</file>