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SYMETRISATION PAR LIPOSCULPTURE :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au spray de Bétadine®.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Positionnement de la patiente en décubitus dorsal.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Prescription et infiltration de 1gr de Cinacef® en IV avant les incisions.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Incisions de 5 mm à l’aide d’une lame n°11, aux sites des lipoaspirations.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superficielle et profonde de 1’000ml de solution tumescente ( 1l NaCl 0.9%, 20cc de Xylocaïne® 2%, 10cc sérum bicarbonaté 8.4%, 1cc adrénaline 1%) aux niveaux des flancs, de la face interne et externe des cuisses.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Récupération de 1’000ml de graisse à l’aide d’un système Microair avec une canule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de 3mm Ø.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Traitement de la graisse avec un lipocollecteur.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des sites lipoaspirés avec un point de Prolène®3-0.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Brufen® 400mg per os 3x/j pdt 7 jours.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Dafalgan® 1gr per os 4x/ pdt 7 jours.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Nexium® 20mg 1x/j pdt 7 jours.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Changement des pansements à 48h.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b/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2022-03-31T11:41:33Z</dcterms:modified>
</cp:coreProperties>
</file>