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000"/>
      </w:pPr>
      <w:r>
        <w:rPr>
          <w:b/>
          <w:color w:val="5B4BDB"/>
          <w:sz w:val="32"/>
        </w:rPr>
        <w:t>MAMA LINK</w:t>
      </w:r>
    </w:p>
    <w:p>
      <w:pPr>
        <w:pStyle w:val="Title"/>
      </w:pPr>
      <w:r>
        <w:t>Multi Agent Maternal Health Coordination Solution</w:t>
      </w:r>
    </w:p>
    <w:p>
      <w:r>
        <w:rPr>
          <w:b/>
          <w:color w:val="17233C"/>
          <w:sz w:val="32"/>
        </w:rPr>
        <w:t>End to end solution design and production readiness plan</w:t>
      </w:r>
    </w:p>
    <w:p>
      <w:r>
        <w:t>Final activity submission for the Microsoft Foundry hackathon</w:t>
      </w:r>
    </w:p>
    <w:p>
      <w:r>
        <w:t>Prepared 18 September 2026</w:t>
      </w:r>
    </w:p>
    <w:p/>
    <w:tbl>
      <w:tblPr>
        <w:tblW w:type="auto" w:w="0"/>
        <w:jc w:val="center"/>
        <w:tblLayout w:type="fixed"/>
        <w:tblLook w:firstColumn="1" w:firstRow="1" w:lastColumn="0" w:lastRow="0" w:noHBand="0" w:noVBand="1" w:val="04A0"/>
      </w:tblPr>
      <w:tblGrid>
        <w:gridCol w:w="1666"/>
        <w:gridCol w:w="1666"/>
        <w:gridCol w:w="1666"/>
        <w:gridCol w:w="1666"/>
        <w:gridCol w:w="1666"/>
        <w:gridCol w:w="1666"/>
      </w:tblGrid>
      <w:tr>
        <w:tc>
          <w:tcPr>
            <w:tcW w:type="dxa" w:w="1666"/>
            <w:shd w:fill="5B4BDB"/>
            <w:tcMar>
              <w:top w:w="150" w:type="dxa"/>
              <w:start w:w="80" w:type="dxa"/>
              <w:bottom w:w="150" w:type="dxa"/>
              <w:end w:w="80" w:type="dxa"/>
            </w:tcMar>
          </w:tcPr>
          <w:p>
            <w:pPr>
              <w:jc w:val="center"/>
            </w:pPr>
            <w:r>
              <w:rPr>
                <w:b/>
                <w:color w:val="FFFFFF"/>
                <w:sz w:val="16"/>
              </w:rPr>
              <w:t>Recognize</w:t>
            </w:r>
          </w:p>
        </w:tc>
        <w:tc>
          <w:tcPr>
            <w:tcW w:type="dxa" w:w="1666"/>
            <w:shd w:fill="17233C"/>
            <w:tcMar>
              <w:top w:w="150" w:type="dxa"/>
              <w:start w:w="80" w:type="dxa"/>
              <w:bottom w:w="150" w:type="dxa"/>
              <w:end w:w="80" w:type="dxa"/>
            </w:tcMar>
          </w:tcPr>
          <w:p>
            <w:pPr>
              <w:jc w:val="center"/>
            </w:pPr>
            <w:r>
              <w:rPr>
                <w:b/>
                <w:color w:val="FFFFFF"/>
                <w:sz w:val="16"/>
              </w:rPr>
              <w:t>Assess</w:t>
            </w:r>
          </w:p>
        </w:tc>
        <w:tc>
          <w:tcPr>
            <w:tcW w:type="dxa" w:w="1666"/>
            <w:shd w:fill="5B4BDB"/>
            <w:tcMar>
              <w:top w:w="150" w:type="dxa"/>
              <w:start w:w="80" w:type="dxa"/>
              <w:bottom w:w="150" w:type="dxa"/>
              <w:end w:w="80" w:type="dxa"/>
            </w:tcMar>
          </w:tcPr>
          <w:p>
            <w:pPr>
              <w:jc w:val="center"/>
            </w:pPr>
            <w:r>
              <w:rPr>
                <w:b/>
                <w:color w:val="FFFFFF"/>
                <w:sz w:val="16"/>
              </w:rPr>
              <w:t>Ground</w:t>
            </w:r>
          </w:p>
        </w:tc>
        <w:tc>
          <w:tcPr>
            <w:tcW w:type="dxa" w:w="1666"/>
            <w:shd w:fill="17233C"/>
            <w:tcMar>
              <w:top w:w="150" w:type="dxa"/>
              <w:start w:w="80" w:type="dxa"/>
              <w:bottom w:w="150" w:type="dxa"/>
              <w:end w:w="80" w:type="dxa"/>
            </w:tcMar>
          </w:tcPr>
          <w:p>
            <w:pPr>
              <w:jc w:val="center"/>
            </w:pPr>
            <w:r>
              <w:rPr>
                <w:b/>
                <w:color w:val="FFFFFF"/>
                <w:sz w:val="16"/>
              </w:rPr>
              <w:t>Refer</w:t>
            </w:r>
          </w:p>
        </w:tc>
        <w:tc>
          <w:tcPr>
            <w:tcW w:type="dxa" w:w="1666"/>
            <w:shd w:fill="5B4BDB"/>
            <w:tcMar>
              <w:top w:w="150" w:type="dxa"/>
              <w:start w:w="80" w:type="dxa"/>
              <w:bottom w:w="150" w:type="dxa"/>
              <w:end w:w="80" w:type="dxa"/>
            </w:tcMar>
          </w:tcPr>
          <w:p>
            <w:pPr>
              <w:jc w:val="center"/>
            </w:pPr>
            <w:r>
              <w:rPr>
                <w:b/>
                <w:color w:val="FFFFFF"/>
                <w:sz w:val="16"/>
              </w:rPr>
              <w:t>Support</w:t>
            </w:r>
          </w:p>
        </w:tc>
        <w:tc>
          <w:tcPr>
            <w:tcW w:type="dxa" w:w="1666"/>
            <w:shd w:fill="17233C"/>
            <w:tcMar>
              <w:top w:w="150" w:type="dxa"/>
              <w:start w:w="80" w:type="dxa"/>
              <w:bottom w:w="150" w:type="dxa"/>
              <w:end w:w="80" w:type="dxa"/>
            </w:tcMar>
          </w:tcPr>
          <w:p>
            <w:pPr>
              <w:jc w:val="center"/>
            </w:pPr>
            <w:r>
              <w:rPr>
                <w:b/>
                <w:color w:val="FFFFFF"/>
                <w:sz w:val="16"/>
              </w:rPr>
              <w:t>Escalate</w:t>
            </w:r>
          </w:p>
        </w:tc>
      </w:tr>
    </w:tbl>
    <w:p>
      <w:pPr>
        <w:spacing w:after="0"/>
      </w:pPr>
    </w:p>
    <w:p/>
    <w:p>
      <w:r>
        <w:rPr>
          <w:b/>
        </w:rPr>
        <w:t xml:space="preserve">Submission position. </w:t>
      </w:r>
      <w:r>
        <w:t>MAMA-Link is a working synthetic hackathon prototype with deployed Foundry agents, deterministic safety tools, File Search grounding, Application Insights monitoring, and a tested local web workflow. It is not clinically validated and is not deployed for real patient care.</w:t>
      </w:r>
    </w:p>
    <w:p>
      <w:r>
        <w:br w:type="page"/>
      </w:r>
    </w:p>
    <w:p>
      <w:pPr>
        <w:pStyle w:val="Heading1"/>
        <w:keepNext/>
      </w:pPr>
      <w:r>
        <w:t>Executive summary</w:t>
      </w:r>
    </w:p>
    <w:p>
      <w:r>
        <w:t>MAMA-Link addresses a coordination problem in maternal health: a person reporting danger signs may need risk recognition, appropriate facility capabilities, transport or social support, and a clear escalation path at the same time. The prototype coordinates these tasks through specialized agents while keeping safety-critical classification and referral selection under deterministic tools.</w:t>
      </w:r>
    </w:p>
    <w:p>
      <w:r>
        <w:t>The implemented solution uses three Microsoft Foundry prompt agents: a Triage Agent, a Referral Agent, and a Knowledge Agent. The first two must call restricted tools and their final structured outputs are checked against authoritative local workflow results. The Knowledge Agent searches a small WHO and UNFPA public-source corpus through Foundry File Search. Application Insights receives only aggregate operation count, status, and duration. The local application provides intake, classification, capability-aware matching, history, consent-gated simulated referral, and an evaluation dashboard.</w:t>
      </w:r>
    </w:p>
    <w:p>
      <w:r>
        <w:t>The evidence supports a hackathon demonstration: 25 automated tests pass; all 7 expected emergency fixtures are detected; 19 of 24 fixture classifications match; and all 19 expected nonroutine cases receive matching referral capabilities. Five expected-normal cases remain unassessed because no clinically approved low-risk completion protocol exists. The next production steps are independent clinical review, held-out cloud evaluation, authentication, live data agreements, and controlled deployment.</w:t>
      </w:r>
    </w:p>
    <w:p>
      <w:pPr>
        <w:pStyle w:val="Heading1"/>
        <w:keepNext/>
      </w:pPr>
      <w:r>
        <w:t>Contents</w:t>
      </w:r>
    </w:p>
    <w:p>
      <w:r>
        <w:t>1  Business scenario and intended users</w:t>
      </w:r>
    </w:p>
    <w:p>
      <w:r>
        <w:t>2  Multi agent solution design</w:t>
      </w:r>
    </w:p>
    <w:p>
      <w:r>
        <w:t>3  Tools data and knowledge</w:t>
      </w:r>
    </w:p>
    <w:p>
      <w:r>
        <w:t>4  End to end workflow</w:t>
      </w:r>
    </w:p>
    <w:p>
      <w:r>
        <w:t>5  Observability strategy</w:t>
      </w:r>
    </w:p>
    <w:p>
      <w:r>
        <w:t>6  Evaluation strategy</w:t>
      </w:r>
    </w:p>
    <w:p>
      <w:r>
        <w:t>7  Governance reliability and safety</w:t>
      </w:r>
    </w:p>
    <w:p>
      <w:r>
        <w:t>8  Deployment and improvement lifecycle</w:t>
      </w:r>
    </w:p>
    <w:p>
      <w:r>
        <w:t>9  Demonstration plan</w:t>
      </w:r>
    </w:p>
    <w:p>
      <w:r>
        <w:t>10  Current evidence and remaining work</w:t>
      </w:r>
    </w:p>
    <w:p>
      <w:r>
        <w:t>Appendices</w:t>
      </w:r>
    </w:p>
    <w:p>
      <w:r>
        <w:br w:type="page"/>
      </w:r>
    </w:p>
    <w:p>
      <w:pPr>
        <w:pStyle w:val="Heading1"/>
        <w:keepNext/>
      </w:pPr>
      <w:r>
        <w:t>1 Business scenario and intended users</w:t>
      </w:r>
    </w:p>
    <w:p>
      <w:pPr>
        <w:pStyle w:val="Heading2"/>
        <w:keepNext/>
      </w:pPr>
      <w:r>
        <w:t>1.1 Business problem</w:t>
      </w:r>
    </w:p>
    <w:p>
      <w:r>
        <w:t>Maternal-health escalation often spans several disconnected decisions. A symptom report must be assessed consistently, an appropriate level of urgency must be communicated, a facility must be selected for required capabilities rather than proximity alone, and available support must be identified. Delays or unsupported assumptions at any step can prevent a person from reaching suitable care.</w:t>
      </w:r>
    </w:p>
    <w:p>
      <w:r>
        <w:t>MAMA-Link demonstrates how an AI-assisted coordination workflow can organize these steps while preserving explicit human consent and deterministic safety controls. The system does not diagnose, prescribe, declare a person safe, or send a real alert.</w:t>
      </w:r>
    </w:p>
    <w:p>
      <w:pPr>
        <w:pStyle w:val="Heading2"/>
        <w:keepNext/>
      </w:pPr>
      <w:r>
        <w:t>1.2 Intended users</w:t>
      </w:r>
    </w:p>
    <w:tbl>
      <w:tblPr>
        <w:tblW w:type="auto" w:w="0"/>
        <w:jc w:val="center"/>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3331"/>
        <w:gridCol w:w="3331"/>
        <w:gridCol w:w="3331"/>
      </w:tblGrid>
      <w:tr>
        <w:trPr>
          <w:tblHeader w:val="true"/>
        </w:trPr>
        <w:tc>
          <w:tcPr>
            <w:tcW w:type="dxa" w:w="3331"/>
            <w:shd w:fill="17233C"/>
            <w:vAlign w:val="center"/>
            <w:tcMar>
              <w:top w:w="100" w:type="dxa"/>
              <w:start w:w="120" w:type="dxa"/>
              <w:bottom w:w="100" w:type="dxa"/>
              <w:end w:w="120" w:type="dxa"/>
            </w:tcMar>
            <w:tcW w:w="2088" w:type="dxa"/>
          </w:tcPr>
          <w:p>
            <w:r>
              <w:rPr>
                <w:b/>
                <w:color w:val="FFFFFF"/>
                <w:sz w:val="18"/>
              </w:rPr>
              <w:t>User</w:t>
            </w:r>
          </w:p>
        </w:tc>
        <w:tc>
          <w:tcPr>
            <w:tcW w:type="dxa" w:w="3331"/>
            <w:shd w:fill="17233C"/>
            <w:vAlign w:val="center"/>
            <w:tcMar>
              <w:top w:w="100" w:type="dxa"/>
              <w:start w:w="120" w:type="dxa"/>
              <w:bottom w:w="100" w:type="dxa"/>
              <w:end w:w="120" w:type="dxa"/>
            </w:tcMar>
            <w:tcW w:w="3600" w:type="dxa"/>
          </w:tcPr>
          <w:p>
            <w:r>
              <w:rPr>
                <w:b/>
                <w:color w:val="FFFFFF"/>
                <w:sz w:val="18"/>
              </w:rPr>
              <w:t>Need</w:t>
            </w:r>
          </w:p>
        </w:tc>
        <w:tc>
          <w:tcPr>
            <w:tcW w:type="dxa" w:w="3331"/>
            <w:shd w:fill="17233C"/>
            <w:vAlign w:val="center"/>
            <w:tcMar>
              <w:top w:w="100" w:type="dxa"/>
              <w:start w:w="120" w:type="dxa"/>
              <w:bottom w:w="100" w:type="dxa"/>
              <w:end w:w="120" w:type="dxa"/>
            </w:tcMar>
            <w:tcW w:w="4608" w:type="dxa"/>
          </w:tcPr>
          <w:p>
            <w:r>
              <w:rPr>
                <w:b/>
                <w:color w:val="FFFFFF"/>
                <w:sz w:val="18"/>
              </w:rPr>
              <w:t>Prototype support</w:t>
            </w:r>
          </w:p>
        </w:tc>
      </w:tr>
      <w:tr>
        <w:tc>
          <w:tcPr>
            <w:tcW w:type="dxa" w:w="3331"/>
            <w:vAlign w:val="center"/>
            <w:tcMar>
              <w:top w:w="100" w:type="dxa"/>
              <w:start w:w="120" w:type="dxa"/>
              <w:bottom w:w="100" w:type="dxa"/>
              <w:end w:w="120" w:type="dxa"/>
            </w:tcMar>
            <w:tcW w:w="2088" w:type="dxa"/>
          </w:tcPr>
          <w:p>
            <w:pPr>
              <w:spacing w:after="0"/>
            </w:pPr>
            <w:r>
              <w:rPr>
                <w:sz w:val="17"/>
              </w:rPr>
              <w:t>Pregnant or postpartum person and family</w:t>
            </w:r>
          </w:p>
        </w:tc>
        <w:tc>
          <w:tcPr>
            <w:tcW w:type="dxa" w:w="3331"/>
            <w:vAlign w:val="center"/>
            <w:tcMar>
              <w:top w:w="100" w:type="dxa"/>
              <w:start w:w="120" w:type="dxa"/>
              <w:bottom w:w="100" w:type="dxa"/>
              <w:end w:w="120" w:type="dxa"/>
            </w:tcMar>
            <w:tcW w:w="3600" w:type="dxa"/>
          </w:tcPr>
          <w:p>
            <w:pPr>
              <w:spacing w:after="0"/>
            </w:pPr>
            <w:r>
              <w:rPr>
                <w:sz w:val="17"/>
              </w:rPr>
              <w:t>Understand escalation status and available care options</w:t>
            </w:r>
          </w:p>
        </w:tc>
        <w:tc>
          <w:tcPr>
            <w:tcW w:type="dxa" w:w="3331"/>
            <w:vAlign w:val="center"/>
            <w:tcMar>
              <w:top w:w="100" w:type="dxa"/>
              <w:start w:w="120" w:type="dxa"/>
              <w:bottom w:w="100" w:type="dxa"/>
              <w:end w:w="120" w:type="dxa"/>
            </w:tcMar>
            <w:tcW w:w="4608" w:type="dxa"/>
          </w:tcPr>
          <w:p>
            <w:pPr>
              <w:spacing w:after="0"/>
            </w:pPr>
            <w:r>
              <w:rPr>
                <w:sz w:val="17"/>
              </w:rPr>
              <w:t>Structured intake, plain status, educational links, consent-controlled simulated referral</w:t>
            </w:r>
          </w:p>
        </w:tc>
      </w:tr>
      <w:tr>
        <w:tc>
          <w:tcPr>
            <w:tcW w:type="dxa" w:w="3331"/>
            <w:shd w:fill="F7F8FC"/>
            <w:vAlign w:val="center"/>
            <w:tcMar>
              <w:top w:w="100" w:type="dxa"/>
              <w:start w:w="120" w:type="dxa"/>
              <w:bottom w:w="100" w:type="dxa"/>
              <w:end w:w="120" w:type="dxa"/>
            </w:tcMar>
            <w:tcW w:w="2088" w:type="dxa"/>
          </w:tcPr>
          <w:p>
            <w:pPr>
              <w:spacing w:after="0"/>
            </w:pPr>
            <w:r>
              <w:rPr>
                <w:sz w:val="17"/>
              </w:rPr>
              <w:t>Community health worker</w:t>
            </w:r>
          </w:p>
        </w:tc>
        <w:tc>
          <w:tcPr>
            <w:tcW w:type="dxa" w:w="3331"/>
            <w:shd w:fill="F7F8FC"/>
            <w:vAlign w:val="center"/>
            <w:tcMar>
              <w:top w:w="100" w:type="dxa"/>
              <w:start w:w="120" w:type="dxa"/>
              <w:bottom w:w="100" w:type="dxa"/>
              <w:end w:w="120" w:type="dxa"/>
            </w:tcMar>
            <w:tcW w:w="3600" w:type="dxa"/>
          </w:tcPr>
          <w:p>
            <w:pPr>
              <w:spacing w:after="0"/>
            </w:pPr>
            <w:r>
              <w:rPr>
                <w:sz w:val="17"/>
              </w:rPr>
              <w:t>Recognize risk and coordinate appropriate referral</w:t>
            </w:r>
          </w:p>
        </w:tc>
        <w:tc>
          <w:tcPr>
            <w:tcW w:type="dxa" w:w="3331"/>
            <w:shd w:fill="F7F8FC"/>
            <w:vAlign w:val="center"/>
            <w:tcMar>
              <w:top w:w="100" w:type="dxa"/>
              <w:start w:w="120" w:type="dxa"/>
              <w:bottom w:w="100" w:type="dxa"/>
              <w:end w:w="120" w:type="dxa"/>
            </w:tcMar>
            <w:tcW w:w="4608" w:type="dxa"/>
          </w:tcPr>
          <w:p>
            <w:pPr>
              <w:spacing w:after="0"/>
            </w:pPr>
            <w:r>
              <w:rPr>
                <w:sz w:val="17"/>
              </w:rPr>
              <w:t>Rule-based assessment, capability matching, traceable results</w:t>
            </w:r>
          </w:p>
        </w:tc>
      </w:tr>
      <w:tr>
        <w:tc>
          <w:tcPr>
            <w:tcW w:type="dxa" w:w="3331"/>
            <w:vAlign w:val="center"/>
            <w:tcMar>
              <w:top w:w="100" w:type="dxa"/>
              <w:start w:w="120" w:type="dxa"/>
              <w:bottom w:w="100" w:type="dxa"/>
              <w:end w:w="120" w:type="dxa"/>
            </w:tcMar>
            <w:tcW w:w="2088" w:type="dxa"/>
          </w:tcPr>
          <w:p>
            <w:pPr>
              <w:spacing w:after="0"/>
            </w:pPr>
            <w:r>
              <w:rPr>
                <w:sz w:val="17"/>
              </w:rPr>
              <w:t>Facility or referral coordinator</w:t>
            </w:r>
          </w:p>
        </w:tc>
        <w:tc>
          <w:tcPr>
            <w:tcW w:type="dxa" w:w="3331"/>
            <w:vAlign w:val="center"/>
            <w:tcMar>
              <w:top w:w="100" w:type="dxa"/>
              <w:start w:w="120" w:type="dxa"/>
              <w:bottom w:w="100" w:type="dxa"/>
              <w:end w:w="120" w:type="dxa"/>
            </w:tcMar>
            <w:tcW w:w="3600" w:type="dxa"/>
          </w:tcPr>
          <w:p>
            <w:pPr>
              <w:spacing w:after="0"/>
            </w:pPr>
            <w:r>
              <w:rPr>
                <w:sz w:val="17"/>
              </w:rPr>
              <w:t>Receive consistent referral context</w:t>
            </w:r>
          </w:p>
        </w:tc>
        <w:tc>
          <w:tcPr>
            <w:tcW w:type="dxa" w:w="3331"/>
            <w:vAlign w:val="center"/>
            <w:tcMar>
              <w:top w:w="100" w:type="dxa"/>
              <w:start w:w="120" w:type="dxa"/>
              <w:bottom w:w="100" w:type="dxa"/>
              <w:end w:w="120" w:type="dxa"/>
            </w:tcMar>
            <w:tcW w:w="4608" w:type="dxa"/>
          </w:tcPr>
          <w:p>
            <w:pPr>
              <w:spacing w:after="0"/>
            </w:pPr>
            <w:r>
              <w:rPr>
                <w:sz w:val="17"/>
              </w:rPr>
              <w:t>Structured referral preparation; no live transmission in prototype</w:t>
            </w:r>
          </w:p>
        </w:tc>
      </w:tr>
      <w:tr>
        <w:tc>
          <w:tcPr>
            <w:tcW w:type="dxa" w:w="3331"/>
            <w:shd w:fill="F7F8FC"/>
            <w:vAlign w:val="center"/>
            <w:tcMar>
              <w:top w:w="100" w:type="dxa"/>
              <w:start w:w="120" w:type="dxa"/>
              <w:bottom w:w="100" w:type="dxa"/>
              <w:end w:w="120" w:type="dxa"/>
            </w:tcMar>
            <w:tcW w:w="2088" w:type="dxa"/>
          </w:tcPr>
          <w:p>
            <w:pPr>
              <w:spacing w:after="0"/>
            </w:pPr>
            <w:r>
              <w:rPr>
                <w:sz w:val="17"/>
              </w:rPr>
              <w:t>NGO or transport partner</w:t>
            </w:r>
          </w:p>
        </w:tc>
        <w:tc>
          <w:tcPr>
            <w:tcW w:type="dxa" w:w="3331"/>
            <w:shd w:fill="F7F8FC"/>
            <w:vAlign w:val="center"/>
            <w:tcMar>
              <w:top w:w="100" w:type="dxa"/>
              <w:start w:w="120" w:type="dxa"/>
              <w:bottom w:w="100" w:type="dxa"/>
              <w:end w:w="120" w:type="dxa"/>
            </w:tcMar>
            <w:tcW w:w="3600" w:type="dxa"/>
          </w:tcPr>
          <w:p>
            <w:pPr>
              <w:spacing w:after="0"/>
            </w:pPr>
            <w:r>
              <w:rPr>
                <w:sz w:val="17"/>
              </w:rPr>
              <w:t>Match assistance to service and coverage</w:t>
            </w:r>
          </w:p>
        </w:tc>
        <w:tc>
          <w:tcPr>
            <w:tcW w:type="dxa" w:w="3331"/>
            <w:shd w:fill="F7F8FC"/>
            <w:vAlign w:val="center"/>
            <w:tcMar>
              <w:top w:w="100" w:type="dxa"/>
              <w:start w:w="120" w:type="dxa"/>
              <w:bottom w:w="100" w:type="dxa"/>
              <w:end w:w="120" w:type="dxa"/>
            </w:tcMar>
            <w:tcW w:w="4608" w:type="dxa"/>
          </w:tcPr>
          <w:p>
            <w:pPr>
              <w:spacing w:after="0"/>
            </w:pPr>
            <w:r>
              <w:rPr>
                <w:sz w:val="17"/>
              </w:rPr>
              <w:t>Fictional support registry and availability filtering</w:t>
            </w:r>
          </w:p>
        </w:tc>
      </w:tr>
      <w:tr>
        <w:tc>
          <w:tcPr>
            <w:tcW w:type="dxa" w:w="3331"/>
            <w:vAlign w:val="center"/>
            <w:tcMar>
              <w:top w:w="100" w:type="dxa"/>
              <w:start w:w="120" w:type="dxa"/>
              <w:bottom w:w="100" w:type="dxa"/>
              <w:end w:w="120" w:type="dxa"/>
            </w:tcMar>
            <w:tcW w:w="2088" w:type="dxa"/>
          </w:tcPr>
          <w:p>
            <w:pPr>
              <w:spacing w:after="0"/>
            </w:pPr>
            <w:r>
              <w:rPr>
                <w:sz w:val="17"/>
              </w:rPr>
              <w:t>Clinical and operational owner</w:t>
            </w:r>
          </w:p>
        </w:tc>
        <w:tc>
          <w:tcPr>
            <w:tcW w:type="dxa" w:w="3331"/>
            <w:vAlign w:val="center"/>
            <w:tcMar>
              <w:top w:w="100" w:type="dxa"/>
              <w:start w:w="120" w:type="dxa"/>
              <w:bottom w:w="100" w:type="dxa"/>
              <w:end w:w="120" w:type="dxa"/>
            </w:tcMar>
            <w:tcW w:w="3600" w:type="dxa"/>
          </w:tcPr>
          <w:p>
            <w:pPr>
              <w:spacing w:after="0"/>
            </w:pPr>
            <w:r>
              <w:rPr>
                <w:sz w:val="17"/>
              </w:rPr>
              <w:t>Review safety, quality and system performance</w:t>
            </w:r>
          </w:p>
        </w:tc>
        <w:tc>
          <w:tcPr>
            <w:tcW w:type="dxa" w:w="3331"/>
            <w:vAlign w:val="center"/>
            <w:tcMar>
              <w:top w:w="100" w:type="dxa"/>
              <w:start w:w="120" w:type="dxa"/>
              <w:bottom w:w="100" w:type="dxa"/>
              <w:end w:w="120" w:type="dxa"/>
            </w:tcMar>
            <w:tcW w:w="4608" w:type="dxa"/>
          </w:tcPr>
          <w:p>
            <w:pPr>
              <w:spacing w:after="0"/>
            </w:pPr>
            <w:r>
              <w:rPr>
                <w:sz w:val="17"/>
              </w:rPr>
              <w:t>Versioned rules, tests, evaluation report and privacy-safe monitoring</w:t>
            </w:r>
          </w:p>
        </w:tc>
      </w:tr>
    </w:tbl>
    <w:p>
      <w:pPr>
        <w:spacing w:after="0"/>
      </w:pPr>
    </w:p>
    <w:p>
      <w:pPr>
        <w:pStyle w:val="Heading2"/>
        <w:keepNext/>
      </w:pPr>
      <w:r>
        <w:t>1.3 Business outcome</w:t>
      </w:r>
    </w:p>
    <w:p>
      <w:r>
        <w:t>The target outcome is a shorter and more reliable path from a reported concern to an appropriate, consented care-coordination action. For the hackathon, success means demonstrating observable agent collaboration, grounded retrieval, correct tool use, repeatable evaluation, and clear safety limits.</w:t>
      </w:r>
    </w:p>
    <w:p>
      <w:pPr>
        <w:pStyle w:val="Heading1"/>
        <w:keepNext/>
      </w:pPr>
      <w:r>
        <w:t>2 Multi agent solution design</w:t>
      </w:r>
    </w:p>
    <w:p>
      <w:pPr>
        <w:pStyle w:val="Heading2"/>
        <w:keepNext/>
      </w:pPr>
      <w:r>
        <w:t>2.1 Specialized agents</w:t>
      </w:r>
    </w:p>
    <w:tbl>
      <w:tblPr>
        <w:tblW w:type="auto" w:w="0"/>
        <w:jc w:val="center"/>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2498"/>
        <w:gridCol w:w="2498"/>
        <w:gridCol w:w="2498"/>
        <w:gridCol w:w="2498"/>
      </w:tblGrid>
      <w:tr>
        <w:trPr>
          <w:tblHeader w:val="true"/>
        </w:trPr>
        <w:tc>
          <w:tcPr>
            <w:tcW w:type="dxa" w:w="2498"/>
            <w:shd w:fill="17233C"/>
            <w:vAlign w:val="center"/>
            <w:tcMar>
              <w:top w:w="100" w:type="dxa"/>
              <w:start w:w="120" w:type="dxa"/>
              <w:bottom w:w="100" w:type="dxa"/>
              <w:end w:w="120" w:type="dxa"/>
            </w:tcMar>
            <w:tcW w:w="1584" w:type="dxa"/>
          </w:tcPr>
          <w:p>
            <w:r>
              <w:rPr>
                <w:b/>
                <w:color w:val="FFFFFF"/>
                <w:sz w:val="18"/>
              </w:rPr>
              <w:t>Agent</w:t>
            </w:r>
          </w:p>
        </w:tc>
        <w:tc>
          <w:tcPr>
            <w:tcW w:type="dxa" w:w="2498"/>
            <w:shd w:fill="17233C"/>
            <w:vAlign w:val="center"/>
            <w:tcMar>
              <w:top w:w="100" w:type="dxa"/>
              <w:start w:w="120" w:type="dxa"/>
              <w:bottom w:w="100" w:type="dxa"/>
              <w:end w:w="120" w:type="dxa"/>
            </w:tcMar>
            <w:tcW w:w="2880" w:type="dxa"/>
          </w:tcPr>
          <w:p>
            <w:r>
              <w:rPr>
                <w:b/>
                <w:color w:val="FFFFFF"/>
                <w:sz w:val="18"/>
              </w:rPr>
              <w:t>Responsibility</w:t>
            </w:r>
          </w:p>
        </w:tc>
        <w:tc>
          <w:tcPr>
            <w:tcW w:type="dxa" w:w="2498"/>
            <w:shd w:fill="17233C"/>
            <w:vAlign w:val="center"/>
            <w:tcMar>
              <w:top w:w="100" w:type="dxa"/>
              <w:start w:w="120" w:type="dxa"/>
              <w:bottom w:w="100" w:type="dxa"/>
              <w:end w:w="120" w:type="dxa"/>
            </w:tcMar>
            <w:tcW w:w="3528" w:type="dxa"/>
          </w:tcPr>
          <w:p>
            <w:r>
              <w:rPr>
                <w:b/>
                <w:color w:val="FFFFFF"/>
                <w:sz w:val="18"/>
              </w:rPr>
              <w:t>Boundary</w:t>
            </w:r>
          </w:p>
        </w:tc>
        <w:tc>
          <w:tcPr>
            <w:tcW w:type="dxa" w:w="2498"/>
            <w:shd w:fill="17233C"/>
            <w:vAlign w:val="center"/>
            <w:tcMar>
              <w:top w:w="100" w:type="dxa"/>
              <w:start w:w="120" w:type="dxa"/>
              <w:bottom w:w="100" w:type="dxa"/>
              <w:end w:w="120" w:type="dxa"/>
            </w:tcMar>
            <w:tcW w:w="2304" w:type="dxa"/>
          </w:tcPr>
          <w:p>
            <w:r>
              <w:rPr>
                <w:b/>
                <w:color w:val="FFFFFF"/>
                <w:sz w:val="18"/>
              </w:rPr>
              <w:t>Implemented evidence</w:t>
            </w:r>
          </w:p>
        </w:tc>
      </w:tr>
      <w:tr>
        <w:tc>
          <w:tcPr>
            <w:tcW w:type="dxa" w:w="2498"/>
            <w:vAlign w:val="center"/>
            <w:tcMar>
              <w:top w:w="100" w:type="dxa"/>
              <w:start w:w="120" w:type="dxa"/>
              <w:bottom w:w="100" w:type="dxa"/>
              <w:end w:w="120" w:type="dxa"/>
            </w:tcMar>
            <w:tcW w:w="1584" w:type="dxa"/>
          </w:tcPr>
          <w:p>
            <w:pPr>
              <w:spacing w:after="0"/>
            </w:pPr>
            <w:r>
              <w:rPr>
                <w:sz w:val="17"/>
              </w:rPr>
              <w:t>Triage Agent</w:t>
            </w:r>
          </w:p>
        </w:tc>
        <w:tc>
          <w:tcPr>
            <w:tcW w:type="dxa" w:w="2498"/>
            <w:vAlign w:val="center"/>
            <w:tcMar>
              <w:top w:w="100" w:type="dxa"/>
              <w:start w:w="120" w:type="dxa"/>
              <w:bottom w:w="100" w:type="dxa"/>
              <w:end w:w="120" w:type="dxa"/>
            </w:tcMar>
            <w:tcW w:w="2880" w:type="dxa"/>
          </w:tcPr>
          <w:p>
            <w:pPr>
              <w:spacing w:after="0"/>
            </w:pPr>
            <w:r>
              <w:rPr>
                <w:sz w:val="17"/>
              </w:rPr>
              <w:t>Request the deterministic screening result for one synthetic case</w:t>
            </w:r>
          </w:p>
        </w:tc>
        <w:tc>
          <w:tcPr>
            <w:tcW w:type="dxa" w:w="2498"/>
            <w:vAlign w:val="center"/>
            <w:tcMar>
              <w:top w:w="100" w:type="dxa"/>
              <w:start w:w="120" w:type="dxa"/>
              <w:bottom w:w="100" w:type="dxa"/>
              <w:end w:w="120" w:type="dxa"/>
            </w:tcMar>
            <w:tcW w:w="3528" w:type="dxa"/>
          </w:tcPr>
          <w:p>
            <w:pPr>
              <w:spacing w:after="0"/>
            </w:pPr>
            <w:r>
              <w:rPr>
                <w:sz w:val="17"/>
              </w:rPr>
              <w:t>Cannot change case ID, diagnose, prescribe, downgrade classification, or answer before tool use</w:t>
            </w:r>
          </w:p>
        </w:tc>
        <w:tc>
          <w:tcPr>
            <w:tcW w:type="dxa" w:w="2498"/>
            <w:vAlign w:val="center"/>
            <w:tcMar>
              <w:top w:w="100" w:type="dxa"/>
              <w:start w:w="120" w:type="dxa"/>
              <w:bottom w:w="100" w:type="dxa"/>
              <w:end w:w="120" w:type="dxa"/>
            </w:tcMar>
            <w:tcW w:w="2304" w:type="dxa"/>
          </w:tcPr>
          <w:p>
            <w:pPr>
              <w:spacing w:after="0"/>
            </w:pPr>
            <w:r>
              <w:rPr>
                <w:sz w:val="17"/>
              </w:rPr>
              <w:t>mama-link-triage v1; live smoke test returned critical for MAT-005</w:t>
            </w:r>
          </w:p>
        </w:tc>
      </w:tr>
      <w:tr>
        <w:tc>
          <w:tcPr>
            <w:tcW w:type="dxa" w:w="2498"/>
            <w:shd w:fill="F7F8FC"/>
            <w:vAlign w:val="center"/>
            <w:tcMar>
              <w:top w:w="100" w:type="dxa"/>
              <w:start w:w="120" w:type="dxa"/>
              <w:bottom w:w="100" w:type="dxa"/>
              <w:end w:w="120" w:type="dxa"/>
            </w:tcMar>
            <w:tcW w:w="1584" w:type="dxa"/>
          </w:tcPr>
          <w:p>
            <w:pPr>
              <w:spacing w:after="0"/>
            </w:pPr>
            <w:r>
              <w:rPr>
                <w:sz w:val="17"/>
              </w:rPr>
              <w:t>Referral Agent</w:t>
            </w:r>
          </w:p>
        </w:tc>
        <w:tc>
          <w:tcPr>
            <w:tcW w:type="dxa" w:w="2498"/>
            <w:shd w:fill="F7F8FC"/>
            <w:vAlign w:val="center"/>
            <w:tcMar>
              <w:top w:w="100" w:type="dxa"/>
              <w:start w:w="120" w:type="dxa"/>
              <w:bottom w:w="100" w:type="dxa"/>
              <w:end w:w="120" w:type="dxa"/>
            </w:tcMar>
            <w:tcW w:w="2880" w:type="dxa"/>
          </w:tcPr>
          <w:p>
            <w:pPr>
              <w:spacing w:after="0"/>
            </w:pPr>
            <w:r>
              <w:rPr>
                <w:sz w:val="17"/>
              </w:rPr>
              <w:t>Request risk and capability-aware facility matches</w:t>
            </w:r>
          </w:p>
        </w:tc>
        <w:tc>
          <w:tcPr>
            <w:tcW w:type="dxa" w:w="2498"/>
            <w:shd w:fill="F7F8FC"/>
            <w:vAlign w:val="center"/>
            <w:tcMar>
              <w:top w:w="100" w:type="dxa"/>
              <w:start w:w="120" w:type="dxa"/>
              <w:bottom w:w="100" w:type="dxa"/>
              <w:end w:w="120" w:type="dxa"/>
            </w:tcMar>
            <w:tcW w:w="3528" w:type="dxa"/>
          </w:tcPr>
          <w:p>
            <w:pPr>
              <w:spacing w:after="0"/>
            </w:pPr>
            <w:r>
              <w:rPr>
                <w:sz w:val="17"/>
              </w:rPr>
              <w:t>Cannot invent a facility, mutate consent, dispatch, or reorder validated facility IDs</w:t>
            </w:r>
          </w:p>
        </w:tc>
        <w:tc>
          <w:tcPr>
            <w:tcW w:type="dxa" w:w="2498"/>
            <w:shd w:fill="F7F8FC"/>
            <w:vAlign w:val="center"/>
            <w:tcMar>
              <w:top w:w="100" w:type="dxa"/>
              <w:start w:w="120" w:type="dxa"/>
              <w:bottom w:w="100" w:type="dxa"/>
              <w:end w:w="120" w:type="dxa"/>
            </w:tcMar>
            <w:tcW w:w="2304" w:type="dxa"/>
          </w:tcPr>
          <w:p>
            <w:pPr>
              <w:spacing w:after="0"/>
            </w:pPr>
            <w:r>
              <w:rPr>
                <w:sz w:val="17"/>
              </w:rPr>
              <w:t>mama-link-referral v1; live smoke test returned FAC-009, FAC-002 and FAC-004</w:t>
            </w:r>
          </w:p>
        </w:tc>
      </w:tr>
      <w:tr>
        <w:tc>
          <w:tcPr>
            <w:tcW w:type="dxa" w:w="2498"/>
            <w:vAlign w:val="center"/>
            <w:tcMar>
              <w:top w:w="100" w:type="dxa"/>
              <w:start w:w="120" w:type="dxa"/>
              <w:bottom w:w="100" w:type="dxa"/>
              <w:end w:w="120" w:type="dxa"/>
            </w:tcMar>
            <w:tcW w:w="1584" w:type="dxa"/>
          </w:tcPr>
          <w:p>
            <w:pPr>
              <w:spacing w:after="0"/>
            </w:pPr>
            <w:r>
              <w:rPr>
                <w:sz w:val="17"/>
              </w:rPr>
              <w:t>Knowledge Agent</w:t>
            </w:r>
          </w:p>
        </w:tc>
        <w:tc>
          <w:tcPr>
            <w:tcW w:type="dxa" w:w="2498"/>
            <w:vAlign w:val="center"/>
            <w:tcMar>
              <w:top w:w="100" w:type="dxa"/>
              <w:start w:w="120" w:type="dxa"/>
              <w:bottom w:w="100" w:type="dxa"/>
              <w:end w:w="120" w:type="dxa"/>
            </w:tcMar>
            <w:tcW w:w="2880" w:type="dxa"/>
          </w:tcPr>
          <w:p>
            <w:pPr>
              <w:spacing w:after="0"/>
            </w:pPr>
            <w:r>
              <w:rPr>
                <w:sz w:val="17"/>
              </w:rPr>
              <w:t>Retrieve educational content from the indexed corpus</w:t>
            </w:r>
          </w:p>
        </w:tc>
        <w:tc>
          <w:tcPr>
            <w:tcW w:type="dxa" w:w="2498"/>
            <w:vAlign w:val="center"/>
            <w:tcMar>
              <w:top w:w="100" w:type="dxa"/>
              <w:start w:w="120" w:type="dxa"/>
              <w:bottom w:w="100" w:type="dxa"/>
              <w:end w:w="120" w:type="dxa"/>
            </w:tcMar>
            <w:tcW w:w="3528" w:type="dxa"/>
          </w:tcPr>
          <w:p>
            <w:pPr>
              <w:spacing w:after="0"/>
            </w:pPr>
            <w:r>
              <w:rPr>
                <w:sz w:val="17"/>
              </w:rPr>
              <w:t>Must use File Search, cite the source URL, acknowledge missing content, and avoid patient-specific advice</w:t>
            </w:r>
          </w:p>
        </w:tc>
        <w:tc>
          <w:tcPr>
            <w:tcW w:type="dxa" w:w="2498"/>
            <w:vAlign w:val="center"/>
            <w:tcMar>
              <w:top w:w="100" w:type="dxa"/>
              <w:start w:w="120" w:type="dxa"/>
              <w:bottom w:w="100" w:type="dxa"/>
              <w:end w:w="120" w:type="dxa"/>
            </w:tcMar>
            <w:tcW w:w="2304" w:type="dxa"/>
          </w:tcPr>
          <w:p>
            <w:pPr>
              <w:spacing w:after="0"/>
            </w:pPr>
            <w:r>
              <w:rPr>
                <w:sz w:val="17"/>
              </w:rPr>
              <w:t>mama-link-knowledge v1; live UNFPA retrieval verified</w:t>
            </w:r>
          </w:p>
        </w:tc>
      </w:tr>
    </w:tbl>
    <w:p>
      <w:pPr>
        <w:spacing w:after="0"/>
      </w:pPr>
    </w:p>
    <w:p>
      <w:pPr>
        <w:pStyle w:val="Heading2"/>
        <w:keepNext/>
      </w:pPr>
      <w:r>
        <w:t>2.2 Why multiple agents</w:t>
      </w:r>
    </w:p>
    <w:p>
      <w:r>
        <w:t>The roles have different authority, tools, data, and failure modes. Separating them reduces the scope of each prompt and makes tool permissions reviewable. A deterministic triage output cannot be silently replaced by a fluent model answer; facility selection can be checked independently; and educational retrieval can be updated without changing emergency rules. Each role can also be evaluated, versioned, monitored, and approved separately.</w:t>
      </w:r>
    </w:p>
    <w:p>
      <w:r>
        <w:t>A single general agent would hold broader permissions and mix classification, retrieval, facility selection, and communication in one response. That design would make failures harder to locate and increase the risk of unsupported clinical statements or invented resources.</w:t>
      </w:r>
    </w:p>
    <w:p>
      <w:pPr>
        <w:pStyle w:val="Heading2"/>
        <w:keepNext/>
      </w:pPr>
      <w:r>
        <w:t>2.3 Architecture</w:t>
      </w:r>
    </w:p>
    <w:tbl>
      <w:tblPr>
        <w:tblW w:type="auto" w:w="0"/>
        <w:jc w:val="center"/>
        <w:tblLayout w:type="fixed"/>
        <w:tblLook w:firstColumn="1" w:firstRow="1" w:lastColumn="0" w:lastRow="0" w:noHBand="0" w:noVBand="1" w:val="04A0"/>
      </w:tblPr>
      <w:tblGrid>
        <w:gridCol w:w="1666"/>
        <w:gridCol w:w="1666"/>
        <w:gridCol w:w="1666"/>
        <w:gridCol w:w="1666"/>
        <w:gridCol w:w="1666"/>
        <w:gridCol w:w="1666"/>
      </w:tblGrid>
      <w:tr>
        <w:tc>
          <w:tcPr>
            <w:tcW w:type="dxa" w:w="1666"/>
            <w:shd w:fill="5B4BDB"/>
            <w:tcMar>
              <w:top w:w="150" w:type="dxa"/>
              <w:start w:w="80" w:type="dxa"/>
              <w:bottom w:w="150" w:type="dxa"/>
              <w:end w:w="80" w:type="dxa"/>
            </w:tcMar>
          </w:tcPr>
          <w:p>
            <w:pPr>
              <w:jc w:val="center"/>
            </w:pPr>
            <w:r>
              <w:rPr>
                <w:b/>
                <w:color w:val="FFFFFF"/>
                <w:sz w:val="16"/>
              </w:rPr>
              <w:t>Web intake</w:t>
            </w:r>
          </w:p>
        </w:tc>
        <w:tc>
          <w:tcPr>
            <w:tcW w:type="dxa" w:w="1666"/>
            <w:shd w:fill="17233C"/>
            <w:tcMar>
              <w:top w:w="150" w:type="dxa"/>
              <w:start w:w="80" w:type="dxa"/>
              <w:bottom w:w="150" w:type="dxa"/>
              <w:end w:w="80" w:type="dxa"/>
            </w:tcMar>
          </w:tcPr>
          <w:p>
            <w:pPr>
              <w:jc w:val="center"/>
            </w:pPr>
            <w:r>
              <w:rPr>
                <w:b/>
                <w:color w:val="FFFFFF"/>
                <w:sz w:val="16"/>
              </w:rPr>
              <w:t>Local API</w:t>
            </w:r>
          </w:p>
        </w:tc>
        <w:tc>
          <w:tcPr>
            <w:tcW w:type="dxa" w:w="1666"/>
            <w:shd w:fill="5B4BDB"/>
            <w:tcMar>
              <w:top w:w="150" w:type="dxa"/>
              <w:start w:w="80" w:type="dxa"/>
              <w:bottom w:w="150" w:type="dxa"/>
              <w:end w:w="80" w:type="dxa"/>
            </w:tcMar>
          </w:tcPr>
          <w:p>
            <w:pPr>
              <w:jc w:val="center"/>
            </w:pPr>
            <w:r>
              <w:rPr>
                <w:b/>
                <w:color w:val="FFFFFF"/>
                <w:sz w:val="16"/>
              </w:rPr>
              <w:t>Triage</w:t>
            </w:r>
          </w:p>
        </w:tc>
        <w:tc>
          <w:tcPr>
            <w:tcW w:type="dxa" w:w="1666"/>
            <w:shd w:fill="17233C"/>
            <w:tcMar>
              <w:top w:w="150" w:type="dxa"/>
              <w:start w:w="80" w:type="dxa"/>
              <w:bottom w:w="150" w:type="dxa"/>
              <w:end w:w="80" w:type="dxa"/>
            </w:tcMar>
          </w:tcPr>
          <w:p>
            <w:pPr>
              <w:jc w:val="center"/>
            </w:pPr>
            <w:r>
              <w:rPr>
                <w:b/>
                <w:color w:val="FFFFFF"/>
                <w:sz w:val="16"/>
              </w:rPr>
              <w:t>Knowledge</w:t>
            </w:r>
          </w:p>
        </w:tc>
        <w:tc>
          <w:tcPr>
            <w:tcW w:type="dxa" w:w="1666"/>
            <w:shd w:fill="5B4BDB"/>
            <w:tcMar>
              <w:top w:w="150" w:type="dxa"/>
              <w:start w:w="80" w:type="dxa"/>
              <w:bottom w:w="150" w:type="dxa"/>
              <w:end w:w="80" w:type="dxa"/>
            </w:tcMar>
          </w:tcPr>
          <w:p>
            <w:pPr>
              <w:jc w:val="center"/>
            </w:pPr>
            <w:r>
              <w:rPr>
                <w:b/>
                <w:color w:val="FFFFFF"/>
                <w:sz w:val="16"/>
              </w:rPr>
              <w:t>Referral</w:t>
            </w:r>
          </w:p>
        </w:tc>
        <w:tc>
          <w:tcPr>
            <w:tcW w:type="dxa" w:w="1666"/>
            <w:shd w:fill="17233C"/>
            <w:tcMar>
              <w:top w:w="150" w:type="dxa"/>
              <w:start w:w="80" w:type="dxa"/>
              <w:bottom w:w="150" w:type="dxa"/>
              <w:end w:w="80" w:type="dxa"/>
            </w:tcMar>
          </w:tcPr>
          <w:p>
            <w:pPr>
              <w:jc w:val="center"/>
            </w:pPr>
            <w:r>
              <w:rPr>
                <w:b/>
                <w:color w:val="FFFFFF"/>
                <w:sz w:val="16"/>
              </w:rPr>
              <w:t>User result</w:t>
            </w:r>
          </w:p>
        </w:tc>
      </w:tr>
    </w:tbl>
    <w:p>
      <w:pPr>
        <w:spacing w:after="0"/>
      </w:pPr>
    </w:p>
    <w:p>
      <w:r>
        <w:t>The web application sends validated structured inputs to FastAPI. The authoritative local workflow applies versioned screening rules, derives required facility capabilities, matches fictional facilities and support organizations, and prepares a referral. Foundry agents demonstrate bounded orchestration over this workflow: the Triage and Referral Agents call read-only functions; the Knowledge Agent queries its vector store. User consent is required before the local application changes a referral from awaiting consent to simulated. No outbound notification integration exists.</w:t>
      </w:r>
    </w:p>
    <w:p>
      <w:pPr>
        <w:pStyle w:val="Heading1"/>
        <w:keepNext/>
      </w:pPr>
      <w:r>
        <w:t>3 Tools data and knowledge</w:t>
      </w:r>
    </w:p>
    <w:tbl>
      <w:tblPr>
        <w:tblW w:type="auto" w:w="0"/>
        <w:jc w:val="center"/>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2498"/>
        <w:gridCol w:w="2498"/>
        <w:gridCol w:w="2498"/>
        <w:gridCol w:w="2498"/>
      </w:tblGrid>
      <w:tr>
        <w:trPr>
          <w:tblHeader w:val="true"/>
        </w:trPr>
        <w:tc>
          <w:tcPr>
            <w:tcW w:type="dxa" w:w="2498"/>
            <w:shd w:fill="17233C"/>
            <w:vAlign w:val="center"/>
            <w:tcMar>
              <w:top w:w="100" w:type="dxa"/>
              <w:start w:w="120" w:type="dxa"/>
              <w:bottom w:w="100" w:type="dxa"/>
              <w:end w:w="120" w:type="dxa"/>
            </w:tcMar>
            <w:tcW w:w="2088" w:type="dxa"/>
          </w:tcPr>
          <w:p>
            <w:r>
              <w:rPr>
                <w:b/>
                <w:color w:val="FFFFFF"/>
                <w:sz w:val="18"/>
              </w:rPr>
              <w:t>Component</w:t>
            </w:r>
          </w:p>
        </w:tc>
        <w:tc>
          <w:tcPr>
            <w:tcW w:type="dxa" w:w="2498"/>
            <w:shd w:fill="17233C"/>
            <w:vAlign w:val="center"/>
            <w:tcMar>
              <w:top w:w="100" w:type="dxa"/>
              <w:start w:w="120" w:type="dxa"/>
              <w:bottom w:w="100" w:type="dxa"/>
              <w:end w:w="120" w:type="dxa"/>
            </w:tcMar>
            <w:tcW w:w="1800" w:type="dxa"/>
          </w:tcPr>
          <w:p>
            <w:r>
              <w:rPr>
                <w:b/>
                <w:color w:val="FFFFFF"/>
                <w:sz w:val="18"/>
              </w:rPr>
              <w:t>Used by</w:t>
            </w:r>
          </w:p>
        </w:tc>
        <w:tc>
          <w:tcPr>
            <w:tcW w:type="dxa" w:w="2498"/>
            <w:shd w:fill="17233C"/>
            <w:vAlign w:val="center"/>
            <w:tcMar>
              <w:top w:w="100" w:type="dxa"/>
              <w:start w:w="120" w:type="dxa"/>
              <w:bottom w:w="100" w:type="dxa"/>
              <w:end w:w="120" w:type="dxa"/>
            </w:tcMar>
            <w:tcW w:w="3671" w:type="dxa"/>
          </w:tcPr>
          <w:p>
            <w:r>
              <w:rPr>
                <w:b/>
                <w:color w:val="FFFFFF"/>
                <w:sz w:val="18"/>
              </w:rPr>
              <w:t>Purpose</w:t>
            </w:r>
          </w:p>
        </w:tc>
        <w:tc>
          <w:tcPr>
            <w:tcW w:type="dxa" w:w="2498"/>
            <w:shd w:fill="17233C"/>
            <w:vAlign w:val="center"/>
            <w:tcMar>
              <w:top w:w="100" w:type="dxa"/>
              <w:start w:w="120" w:type="dxa"/>
              <w:bottom w:w="100" w:type="dxa"/>
              <w:end w:w="120" w:type="dxa"/>
            </w:tcMar>
            <w:tcW w:w="2736" w:type="dxa"/>
          </w:tcPr>
          <w:p>
            <w:r>
              <w:rPr>
                <w:b/>
                <w:color w:val="FFFFFF"/>
                <w:sz w:val="18"/>
              </w:rPr>
              <w:t>Control</w:t>
            </w:r>
          </w:p>
        </w:tc>
      </w:tr>
      <w:tr>
        <w:tc>
          <w:tcPr>
            <w:tcW w:type="dxa" w:w="2498"/>
            <w:vAlign w:val="center"/>
            <w:tcMar>
              <w:top w:w="100" w:type="dxa"/>
              <w:start w:w="120" w:type="dxa"/>
              <w:bottom w:w="100" w:type="dxa"/>
              <w:end w:w="120" w:type="dxa"/>
            </w:tcMar>
            <w:tcW w:w="2088" w:type="dxa"/>
          </w:tcPr>
          <w:p>
            <w:pPr>
              <w:spacing w:after="0"/>
            </w:pPr>
            <w:r>
              <w:rPr>
                <w:sz w:val="17"/>
              </w:rPr>
              <w:t>screen_case function</w:t>
            </w:r>
          </w:p>
        </w:tc>
        <w:tc>
          <w:tcPr>
            <w:tcW w:type="dxa" w:w="2498"/>
            <w:vAlign w:val="center"/>
            <w:tcMar>
              <w:top w:w="100" w:type="dxa"/>
              <w:start w:w="120" w:type="dxa"/>
              <w:bottom w:w="100" w:type="dxa"/>
              <w:end w:w="120" w:type="dxa"/>
            </w:tcMar>
            <w:tcW w:w="1800" w:type="dxa"/>
          </w:tcPr>
          <w:p>
            <w:pPr>
              <w:spacing w:after="0"/>
            </w:pPr>
            <w:r>
              <w:rPr>
                <w:sz w:val="17"/>
              </w:rPr>
              <w:t>Triage Agent</w:t>
            </w:r>
          </w:p>
        </w:tc>
        <w:tc>
          <w:tcPr>
            <w:tcW w:type="dxa" w:w="2498"/>
            <w:vAlign w:val="center"/>
            <w:tcMar>
              <w:top w:w="100" w:type="dxa"/>
              <w:start w:w="120" w:type="dxa"/>
              <w:bottom w:w="100" w:type="dxa"/>
              <w:end w:w="120" w:type="dxa"/>
            </w:tcMar>
            <w:tcW w:w="3671" w:type="dxa"/>
          </w:tcPr>
          <w:p>
            <w:pPr>
              <w:spacing w:after="0"/>
            </w:pPr>
            <w:r>
              <w:rPr>
                <w:sz w:val="17"/>
              </w:rPr>
              <w:t>Return deterministic classification for one requested fixture</w:t>
            </w:r>
          </w:p>
        </w:tc>
        <w:tc>
          <w:tcPr>
            <w:tcW w:type="dxa" w:w="2498"/>
            <w:vAlign w:val="center"/>
            <w:tcMar>
              <w:top w:w="100" w:type="dxa"/>
              <w:start w:w="120" w:type="dxa"/>
              <w:bottom w:w="100" w:type="dxa"/>
              <w:end w:w="120" w:type="dxa"/>
            </w:tcMar>
            <w:tcW w:w="2736" w:type="dxa"/>
          </w:tcPr>
          <w:p>
            <w:pPr>
              <w:spacing w:after="0"/>
            </w:pPr>
            <w:r>
              <w:rPr>
                <w:sz w:val="17"/>
              </w:rPr>
              <w:t>Strict schema; exact case ID; read-only</w:t>
            </w:r>
          </w:p>
        </w:tc>
      </w:tr>
      <w:tr>
        <w:tc>
          <w:tcPr>
            <w:tcW w:type="dxa" w:w="2498"/>
            <w:shd w:fill="F7F8FC"/>
            <w:vAlign w:val="center"/>
            <w:tcMar>
              <w:top w:w="100" w:type="dxa"/>
              <w:start w:w="120" w:type="dxa"/>
              <w:bottom w:w="100" w:type="dxa"/>
              <w:end w:w="120" w:type="dxa"/>
            </w:tcMar>
            <w:tcW w:w="2088" w:type="dxa"/>
          </w:tcPr>
          <w:p>
            <w:pPr>
              <w:spacing w:after="0"/>
            </w:pPr>
            <w:r>
              <w:rPr>
                <w:sz w:val="17"/>
              </w:rPr>
              <w:t>referral_plan function</w:t>
            </w:r>
          </w:p>
        </w:tc>
        <w:tc>
          <w:tcPr>
            <w:tcW w:type="dxa" w:w="2498"/>
            <w:shd w:fill="F7F8FC"/>
            <w:vAlign w:val="center"/>
            <w:tcMar>
              <w:top w:w="100" w:type="dxa"/>
              <w:start w:w="120" w:type="dxa"/>
              <w:bottom w:w="100" w:type="dxa"/>
              <w:end w:w="120" w:type="dxa"/>
            </w:tcMar>
            <w:tcW w:w="1800" w:type="dxa"/>
          </w:tcPr>
          <w:p>
            <w:pPr>
              <w:spacing w:after="0"/>
            </w:pPr>
            <w:r>
              <w:rPr>
                <w:sz w:val="17"/>
              </w:rPr>
              <w:t>Referral Agent</w:t>
            </w:r>
          </w:p>
        </w:tc>
        <w:tc>
          <w:tcPr>
            <w:tcW w:type="dxa" w:w="2498"/>
            <w:shd w:fill="F7F8FC"/>
            <w:vAlign w:val="center"/>
            <w:tcMar>
              <w:top w:w="100" w:type="dxa"/>
              <w:start w:w="120" w:type="dxa"/>
              <w:bottom w:w="100" w:type="dxa"/>
              <w:end w:w="120" w:type="dxa"/>
            </w:tcMar>
            <w:tcW w:w="3671" w:type="dxa"/>
          </w:tcPr>
          <w:p>
            <w:pPr>
              <w:spacing w:after="0"/>
            </w:pPr>
            <w:r>
              <w:rPr>
                <w:sz w:val="17"/>
              </w:rPr>
              <w:t>Return classification and ordered capable facilities</w:t>
            </w:r>
          </w:p>
        </w:tc>
        <w:tc>
          <w:tcPr>
            <w:tcW w:type="dxa" w:w="2498"/>
            <w:shd w:fill="F7F8FC"/>
            <w:vAlign w:val="center"/>
            <w:tcMar>
              <w:top w:w="100" w:type="dxa"/>
              <w:start w:w="120" w:type="dxa"/>
              <w:bottom w:w="100" w:type="dxa"/>
              <w:end w:w="120" w:type="dxa"/>
            </w:tcMar>
            <w:tcW w:w="2736" w:type="dxa"/>
          </w:tcPr>
          <w:p>
            <w:pPr>
              <w:spacing w:after="0"/>
            </w:pPr>
            <w:r>
              <w:rPr>
                <w:sz w:val="17"/>
              </w:rPr>
              <w:t>Strict schema; read-only; validated final output</w:t>
            </w:r>
          </w:p>
        </w:tc>
      </w:tr>
      <w:tr>
        <w:tc>
          <w:tcPr>
            <w:tcW w:type="dxa" w:w="2498"/>
            <w:vAlign w:val="center"/>
            <w:tcMar>
              <w:top w:w="100" w:type="dxa"/>
              <w:start w:w="120" w:type="dxa"/>
              <w:bottom w:w="100" w:type="dxa"/>
              <w:end w:w="120" w:type="dxa"/>
            </w:tcMar>
            <w:tcW w:w="2088" w:type="dxa"/>
          </w:tcPr>
          <w:p>
            <w:pPr>
              <w:spacing w:after="0"/>
            </w:pPr>
            <w:r>
              <w:rPr>
                <w:sz w:val="17"/>
              </w:rPr>
              <w:t>Foundry File Search</w:t>
            </w:r>
          </w:p>
        </w:tc>
        <w:tc>
          <w:tcPr>
            <w:tcW w:type="dxa" w:w="2498"/>
            <w:vAlign w:val="center"/>
            <w:tcMar>
              <w:top w:w="100" w:type="dxa"/>
              <w:start w:w="120" w:type="dxa"/>
              <w:bottom w:w="100" w:type="dxa"/>
              <w:end w:w="120" w:type="dxa"/>
            </w:tcMar>
            <w:tcW w:w="1800" w:type="dxa"/>
          </w:tcPr>
          <w:p>
            <w:pPr>
              <w:spacing w:after="0"/>
            </w:pPr>
            <w:r>
              <w:rPr>
                <w:sz w:val="17"/>
              </w:rPr>
              <w:t>Knowledge Agent</w:t>
            </w:r>
          </w:p>
        </w:tc>
        <w:tc>
          <w:tcPr>
            <w:tcW w:type="dxa" w:w="2498"/>
            <w:vAlign w:val="center"/>
            <w:tcMar>
              <w:top w:w="100" w:type="dxa"/>
              <w:start w:w="120" w:type="dxa"/>
              <w:bottom w:w="100" w:type="dxa"/>
              <w:end w:w="120" w:type="dxa"/>
            </w:tcMar>
            <w:tcW w:w="3671" w:type="dxa"/>
          </w:tcPr>
          <w:p>
            <w:pPr>
              <w:spacing w:after="0"/>
            </w:pPr>
            <w:r>
              <w:rPr>
                <w:sz w:val="17"/>
              </w:rPr>
              <w:t>Retrieve WHO and UNFPA educational material</w:t>
            </w:r>
          </w:p>
        </w:tc>
        <w:tc>
          <w:tcPr>
            <w:tcW w:type="dxa" w:w="2498"/>
            <w:vAlign w:val="center"/>
            <w:tcMar>
              <w:top w:w="100" w:type="dxa"/>
              <w:start w:w="120" w:type="dxa"/>
              <w:bottom w:w="100" w:type="dxa"/>
              <w:end w:w="120" w:type="dxa"/>
            </w:tcMar>
            <w:tcW w:w="2736" w:type="dxa"/>
          </w:tcPr>
          <w:p>
            <w:pPr>
              <w:spacing w:after="0"/>
            </w:pPr>
            <w:r>
              <w:rPr>
                <w:sz w:val="17"/>
              </w:rPr>
              <w:t>One pinned vector store; pending clinical review label</w:t>
            </w:r>
          </w:p>
        </w:tc>
      </w:tr>
      <w:tr>
        <w:tc>
          <w:tcPr>
            <w:tcW w:type="dxa" w:w="2498"/>
            <w:shd w:fill="F7F8FC"/>
            <w:vAlign w:val="center"/>
            <w:tcMar>
              <w:top w:w="100" w:type="dxa"/>
              <w:start w:w="120" w:type="dxa"/>
              <w:bottom w:w="100" w:type="dxa"/>
              <w:end w:w="120" w:type="dxa"/>
            </w:tcMar>
            <w:tcW w:w="2088" w:type="dxa"/>
          </w:tcPr>
          <w:p>
            <w:pPr>
              <w:spacing w:after="0"/>
            </w:pPr>
            <w:r>
              <w:rPr>
                <w:sz w:val="17"/>
              </w:rPr>
              <w:t>Synthetic maternal dataset</w:t>
            </w:r>
          </w:p>
        </w:tc>
        <w:tc>
          <w:tcPr>
            <w:tcW w:type="dxa" w:w="2498"/>
            <w:shd w:fill="F7F8FC"/>
            <w:vAlign w:val="center"/>
            <w:tcMar>
              <w:top w:w="100" w:type="dxa"/>
              <w:start w:w="120" w:type="dxa"/>
              <w:bottom w:w="100" w:type="dxa"/>
              <w:end w:w="120" w:type="dxa"/>
            </w:tcMar>
            <w:tcW w:w="1800" w:type="dxa"/>
          </w:tcPr>
          <w:p>
            <w:pPr>
              <w:spacing w:after="0"/>
            </w:pPr>
            <w:r>
              <w:rPr>
                <w:sz w:val="17"/>
              </w:rPr>
              <w:t>Local workflow</w:t>
            </w:r>
          </w:p>
        </w:tc>
        <w:tc>
          <w:tcPr>
            <w:tcW w:type="dxa" w:w="2498"/>
            <w:shd w:fill="F7F8FC"/>
            <w:vAlign w:val="center"/>
            <w:tcMar>
              <w:top w:w="100" w:type="dxa"/>
              <w:start w:w="120" w:type="dxa"/>
              <w:bottom w:w="100" w:type="dxa"/>
              <w:end w:w="120" w:type="dxa"/>
            </w:tcMar>
            <w:tcW w:w="3671" w:type="dxa"/>
          </w:tcPr>
          <w:p>
            <w:pPr>
              <w:spacing w:after="0"/>
            </w:pPr>
            <w:r>
              <w:rPr>
                <w:sz w:val="17"/>
              </w:rPr>
              <w:t>24 fictional scenarios for regression and demonstration</w:t>
            </w:r>
          </w:p>
        </w:tc>
        <w:tc>
          <w:tcPr>
            <w:tcW w:type="dxa" w:w="2498"/>
            <w:shd w:fill="F7F8FC"/>
            <w:vAlign w:val="center"/>
            <w:tcMar>
              <w:top w:w="100" w:type="dxa"/>
              <w:start w:w="120" w:type="dxa"/>
              <w:bottom w:w="100" w:type="dxa"/>
              <w:end w:w="120" w:type="dxa"/>
            </w:tcMar>
            <w:tcW w:w="2736" w:type="dxa"/>
          </w:tcPr>
          <w:p>
            <w:pPr>
              <w:spacing w:after="0"/>
            </w:pPr>
            <w:r>
              <w:rPr>
                <w:sz w:val="17"/>
              </w:rPr>
              <w:t>No real patient data</w:t>
            </w:r>
          </w:p>
        </w:tc>
      </w:tr>
      <w:tr>
        <w:tc>
          <w:tcPr>
            <w:tcW w:type="dxa" w:w="2498"/>
            <w:vAlign w:val="center"/>
            <w:tcMar>
              <w:top w:w="100" w:type="dxa"/>
              <w:start w:w="120" w:type="dxa"/>
              <w:bottom w:w="100" w:type="dxa"/>
              <w:end w:w="120" w:type="dxa"/>
            </w:tcMar>
            <w:tcW w:w="2088" w:type="dxa"/>
          </w:tcPr>
          <w:p>
            <w:pPr>
              <w:spacing w:after="0"/>
            </w:pPr>
            <w:r>
              <w:rPr>
                <w:sz w:val="17"/>
              </w:rPr>
              <w:t>Facility and support registries</w:t>
            </w:r>
          </w:p>
        </w:tc>
        <w:tc>
          <w:tcPr>
            <w:tcW w:type="dxa" w:w="2498"/>
            <w:vAlign w:val="center"/>
            <w:tcMar>
              <w:top w:w="100" w:type="dxa"/>
              <w:start w:w="120" w:type="dxa"/>
              <w:bottom w:w="100" w:type="dxa"/>
              <w:end w:w="120" w:type="dxa"/>
            </w:tcMar>
            <w:tcW w:w="1800" w:type="dxa"/>
          </w:tcPr>
          <w:p>
            <w:pPr>
              <w:spacing w:after="0"/>
            </w:pPr>
            <w:r>
              <w:rPr>
                <w:sz w:val="17"/>
              </w:rPr>
              <w:t>Local workflow</w:t>
            </w:r>
          </w:p>
        </w:tc>
        <w:tc>
          <w:tcPr>
            <w:tcW w:type="dxa" w:w="2498"/>
            <w:vAlign w:val="center"/>
            <w:tcMar>
              <w:top w:w="100" w:type="dxa"/>
              <w:start w:w="120" w:type="dxa"/>
              <w:bottom w:w="100" w:type="dxa"/>
              <w:end w:w="120" w:type="dxa"/>
            </w:tcMar>
            <w:tcW w:w="3671" w:type="dxa"/>
          </w:tcPr>
          <w:p>
            <w:pPr>
              <w:spacing w:after="0"/>
            </w:pPr>
            <w:r>
              <w:rPr>
                <w:sz w:val="17"/>
              </w:rPr>
              <w:t>Match capabilities, service area and simulated availability</w:t>
            </w:r>
          </w:p>
        </w:tc>
        <w:tc>
          <w:tcPr>
            <w:tcW w:type="dxa" w:w="2498"/>
            <w:vAlign w:val="center"/>
            <w:tcMar>
              <w:top w:w="100" w:type="dxa"/>
              <w:start w:w="120" w:type="dxa"/>
              <w:bottom w:w="100" w:type="dxa"/>
              <w:end w:w="120" w:type="dxa"/>
            </w:tcMar>
            <w:tcW w:w="2736" w:type="dxa"/>
          </w:tcPr>
          <w:p>
            <w:pPr>
              <w:spacing w:after="0"/>
            </w:pPr>
            <w:r>
              <w:rPr>
                <w:sz w:val="17"/>
              </w:rPr>
              <w:t>Fictional records; no nearest-care claim</w:t>
            </w:r>
          </w:p>
        </w:tc>
      </w:tr>
      <w:tr>
        <w:tc>
          <w:tcPr>
            <w:tcW w:type="dxa" w:w="2498"/>
            <w:shd w:fill="F7F8FC"/>
            <w:vAlign w:val="center"/>
            <w:tcMar>
              <w:top w:w="100" w:type="dxa"/>
              <w:start w:w="120" w:type="dxa"/>
              <w:bottom w:w="100" w:type="dxa"/>
              <w:end w:w="120" w:type="dxa"/>
            </w:tcMar>
            <w:tcW w:w="2088" w:type="dxa"/>
          </w:tcPr>
          <w:p>
            <w:pPr>
              <w:spacing w:after="0"/>
            </w:pPr>
            <w:r>
              <w:rPr>
                <w:sz w:val="17"/>
              </w:rPr>
              <w:t>SQLite session store</w:t>
            </w:r>
          </w:p>
        </w:tc>
        <w:tc>
          <w:tcPr>
            <w:tcW w:type="dxa" w:w="2498"/>
            <w:shd w:fill="F7F8FC"/>
            <w:vAlign w:val="center"/>
            <w:tcMar>
              <w:top w:w="100" w:type="dxa"/>
              <w:start w:w="120" w:type="dxa"/>
              <w:bottom w:w="100" w:type="dxa"/>
              <w:end w:w="120" w:type="dxa"/>
            </w:tcMar>
            <w:tcW w:w="1800" w:type="dxa"/>
          </w:tcPr>
          <w:p>
            <w:pPr>
              <w:spacing w:after="0"/>
            </w:pPr>
            <w:r>
              <w:rPr>
                <w:sz w:val="17"/>
              </w:rPr>
              <w:t>Web application</w:t>
            </w:r>
          </w:p>
        </w:tc>
        <w:tc>
          <w:tcPr>
            <w:tcW w:type="dxa" w:w="2498"/>
            <w:shd w:fill="F7F8FC"/>
            <w:vAlign w:val="center"/>
            <w:tcMar>
              <w:top w:w="100" w:type="dxa"/>
              <w:start w:w="120" w:type="dxa"/>
              <w:bottom w:w="100" w:type="dxa"/>
              <w:end w:w="120" w:type="dxa"/>
            </w:tcMar>
            <w:tcW w:w="3671" w:type="dxa"/>
          </w:tcPr>
          <w:p>
            <w:pPr>
              <w:spacing w:after="0"/>
            </w:pPr>
            <w:r>
              <w:rPr>
                <w:sz w:val="17"/>
              </w:rPr>
              <w:t>Save assessment history and consent state</w:t>
            </w:r>
          </w:p>
        </w:tc>
        <w:tc>
          <w:tcPr>
            <w:tcW w:type="dxa" w:w="2498"/>
            <w:shd w:fill="F7F8FC"/>
            <w:vAlign w:val="center"/>
            <w:tcMar>
              <w:top w:w="100" w:type="dxa"/>
              <w:start w:w="120" w:type="dxa"/>
              <w:bottom w:w="100" w:type="dxa"/>
              <w:end w:w="120" w:type="dxa"/>
            </w:tcMar>
            <w:tcW w:w="2736" w:type="dxa"/>
          </w:tcPr>
          <w:p>
            <w:pPr>
              <w:spacing w:after="0"/>
            </w:pPr>
            <w:r>
              <w:rPr>
                <w:sz w:val="17"/>
              </w:rPr>
              <w:t>Browser-session isolation; raw notes excluded</w:t>
            </w:r>
          </w:p>
        </w:tc>
      </w:tr>
    </w:tbl>
    <w:p>
      <w:pPr>
        <w:spacing w:after="0"/>
      </w:pPr>
    </w:p>
    <w:p>
      <w:pPr>
        <w:pStyle w:val="Heading2"/>
        <w:keepNext/>
      </w:pPr>
      <w:r>
        <w:t>3.1 Knowledge provenance</w:t>
      </w:r>
    </w:p>
    <w:p>
      <w:r>
        <w:t>The prototype corpus records source URL, retrieval date and review status for WHO maternal mortality material, a WHO maternal and newborn counselling handbook, and the UNFPA obstetric fistula page. The corpus is intentionally labelled pending clinical review. It supports a retrieval demonstration and must not be described as an approved clinical protocol until a qualified owner records approval, jurisdiction, version, permitted use, and review date.</w:t>
      </w:r>
    </w:p>
    <w:p>
      <w:pPr>
        <w:pStyle w:val="Heading1"/>
        <w:keepNext/>
      </w:pPr>
      <w:r>
        <w:t>4 End to end workflow</w:t>
      </w:r>
    </w:p>
    <w:p>
      <w:pPr>
        <w:pStyle w:val="Heading2"/>
        <w:keepNext/>
      </w:pPr>
      <w:r>
        <w:t>4.1 Sequence of interactions</w:t>
      </w:r>
    </w:p>
    <w:p>
      <w:pPr>
        <w:pStyle w:val="ListNumber"/>
      </w:pPr>
      <w:r>
        <w:t>The user selects a synthetic fixture or enters structured fictional symptoms and measurements.</w:t>
      </w:r>
    </w:p>
    <w:p>
      <w:pPr>
        <w:pStyle w:val="ListNumber"/>
      </w:pPr>
      <w:r>
        <w:t>FastAPI validates the request. Free-text notes are treated as untrusted human-review context and are not interpreted or persisted.</w:t>
      </w:r>
    </w:p>
    <w:p>
      <w:pPr>
        <w:pStyle w:val="ListNumber"/>
      </w:pPr>
      <w:r>
        <w:t>The deterministic screening engine applies critical-over-warning precedence and returns classification, risk level, matched rules and required capabilities.</w:t>
      </w:r>
    </w:p>
    <w:p>
      <w:pPr>
        <w:pStyle w:val="ListNumber"/>
      </w:pPr>
      <w:r>
        <w:t>The Triage Agent calls screen_case and may return only the validated classification.</w:t>
      </w:r>
    </w:p>
    <w:p>
      <w:pPr>
        <w:pStyle w:val="ListNumber"/>
      </w:pPr>
      <w:r>
        <w:t>The Knowledge Agent searches its vector store for relevant educational material and returns source-linked information with the pending-review statement.</w:t>
      </w:r>
    </w:p>
    <w:p>
      <w:pPr>
        <w:pStyle w:val="ListNumber"/>
      </w:pPr>
      <w:r>
        <w:t>The Referral Agent calls referral_plan. The local workflow filters facilities by state, simulated availability and every required capability, then matches support organizations by service and coverage.</w:t>
      </w:r>
    </w:p>
    <w:p>
      <w:pPr>
        <w:pStyle w:val="ListNumber"/>
      </w:pPr>
      <w:r>
        <w:t>The application presents urgency, capable facilities, support options, evidence boundaries and a consent control.</w:t>
      </w:r>
    </w:p>
    <w:p>
      <w:pPr>
        <w:pStyle w:val="ListNumber"/>
      </w:pPr>
      <w:r>
        <w:t>If the user consents to a selected facility, the local record changes to simulated status. Nothing is sent externally.</w:t>
      </w:r>
    </w:p>
    <w:p>
      <w:pPr>
        <w:pStyle w:val="ListNumber"/>
      </w:pPr>
      <w:r>
        <w:t>The system records aggregate operation status and duration and exposes evaluation results to the dashboard.</w:t>
      </w:r>
    </w:p>
    <w:p>
      <w:pPr>
        <w:pStyle w:val="Heading2"/>
        <w:keepNext/>
      </w:pPr>
      <w:r>
        <w:t>4.2 Information passed between agents</w:t>
      </w:r>
    </w:p>
    <w:p>
      <w:r>
        <w:t>Agents exchange the minimum structured context required for their role: a synthetic case ID for triage and referral, deterministic classification and facility IDs in validated outputs, and an educational question for retrieval. Raw session cookies, free-text notes, telemetry secrets and consent mutation authority are never passed to Foundry agents.</w:t>
      </w:r>
    </w:p>
    <w:p>
      <w:pPr>
        <w:pStyle w:val="Heading2"/>
        <w:keepNext/>
      </w:pPr>
      <w:r>
        <w:t>4.3 Failure behavior</w:t>
      </w:r>
    </w:p>
    <w:p>
      <w:pPr>
        <w:pStyle w:val="ListBullet"/>
      </w:pPr>
      <w:r>
        <w:t>An agent response without its required tool call is rejected.</w:t>
      </w:r>
    </w:p>
    <w:p>
      <w:pPr>
        <w:pStyle w:val="ListBullet"/>
      </w:pPr>
      <w:r>
        <w:t>A tool request for another case or another role's tool is rejected.</w:t>
      </w:r>
    </w:p>
    <w:p>
      <w:pPr>
        <w:pStyle w:val="ListBullet"/>
      </w:pPr>
      <w:r>
        <w:t>A classification or facility list that differs from the authoritative workflow is rejected.</w:t>
      </w:r>
    </w:p>
    <w:p>
      <w:pPr>
        <w:pStyle w:val="ListBullet"/>
      </w:pPr>
      <w:r>
        <w:t>The tool loop stops after five iterations.</w:t>
      </w:r>
    </w:p>
    <w:p>
      <w:pPr>
        <w:pStyle w:val="ListBullet"/>
      </w:pPr>
      <w:r>
        <w:t>Unknown clinical input remains unassessed; it is never converted to a safety claim.</w:t>
      </w:r>
    </w:p>
    <w:p>
      <w:pPr>
        <w:pStyle w:val="ListBullet"/>
      </w:pPr>
      <w:r>
        <w:t>Missing capable facilities produce an empty result rather than a fabricated fallback.</w:t>
      </w:r>
    </w:p>
    <w:p>
      <w:pPr>
        <w:pStyle w:val="Heading1"/>
        <w:keepNext/>
      </w:pPr>
      <w:r>
        <w:t>5 Observability strategy</w:t>
      </w:r>
    </w:p>
    <w:p>
      <w:pPr>
        <w:pStyle w:val="Heading2"/>
        <w:keepNext/>
      </w:pPr>
      <w:r>
        <w:t>5.1 Implemented monitoring</w:t>
      </w:r>
    </w:p>
    <w:p>
      <w:r>
        <w:t>Application Insights is connected to a Log Analytics workspace with 30-day retention. The application emits an allow-listed counter and duration histogram using only operation name, status and elapsed milliseconds. Automatic FastAPI, requests, URL, Azure SDK and database instrumentation is disabled. This prevents raw symptoms, prompts, notes, case IDs, session IDs, request paths, tool payloads and secrets from entering telemetry.</w:t>
      </w:r>
    </w:p>
    <w:tbl>
      <w:tblPr>
        <w:tblW w:type="auto" w:w="0"/>
        <w:jc w:val="center"/>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3331"/>
        <w:gridCol w:w="3331"/>
        <w:gridCol w:w="3331"/>
      </w:tblGrid>
      <w:tr>
        <w:trPr>
          <w:tblHeader w:val="true"/>
        </w:trPr>
        <w:tc>
          <w:tcPr>
            <w:tcW w:type="dxa" w:w="3331"/>
            <w:shd w:fill="17233C"/>
            <w:vAlign w:val="center"/>
            <w:tcMar>
              <w:top w:w="100" w:type="dxa"/>
              <w:start w:w="120" w:type="dxa"/>
              <w:bottom w:w="100" w:type="dxa"/>
              <w:end w:w="120" w:type="dxa"/>
            </w:tcMar>
            <w:tcW w:w="2448" w:type="dxa"/>
          </w:tcPr>
          <w:p>
            <w:r>
              <w:rPr>
                <w:b/>
                <w:color w:val="FFFFFF"/>
                <w:sz w:val="18"/>
              </w:rPr>
              <w:t>Signal</w:t>
            </w:r>
          </w:p>
        </w:tc>
        <w:tc>
          <w:tcPr>
            <w:tcW w:type="dxa" w:w="3331"/>
            <w:shd w:fill="17233C"/>
            <w:vAlign w:val="center"/>
            <w:tcMar>
              <w:top w:w="100" w:type="dxa"/>
              <w:start w:w="120" w:type="dxa"/>
              <w:bottom w:w="100" w:type="dxa"/>
              <w:end w:w="120" w:type="dxa"/>
            </w:tcMar>
            <w:tcW w:w="3528" w:type="dxa"/>
          </w:tcPr>
          <w:p>
            <w:r>
              <w:rPr>
                <w:b/>
                <w:color w:val="FFFFFF"/>
                <w:sz w:val="18"/>
              </w:rPr>
              <w:t>Purpose</w:t>
            </w:r>
          </w:p>
        </w:tc>
        <w:tc>
          <w:tcPr>
            <w:tcW w:type="dxa" w:w="3331"/>
            <w:shd w:fill="17233C"/>
            <w:vAlign w:val="center"/>
            <w:tcMar>
              <w:top w:w="100" w:type="dxa"/>
              <w:start w:w="120" w:type="dxa"/>
              <w:bottom w:w="100" w:type="dxa"/>
              <w:end w:w="120" w:type="dxa"/>
            </w:tcMar>
            <w:tcW w:w="4392" w:type="dxa"/>
          </w:tcPr>
          <w:p>
            <w:r>
              <w:rPr>
                <w:b/>
                <w:color w:val="FFFFFF"/>
                <w:sz w:val="18"/>
              </w:rPr>
              <w:t>Diagnostic use</w:t>
            </w:r>
          </w:p>
        </w:tc>
      </w:tr>
      <w:tr>
        <w:tc>
          <w:tcPr>
            <w:tcW w:type="dxa" w:w="3331"/>
            <w:vAlign w:val="center"/>
            <w:tcMar>
              <w:top w:w="100" w:type="dxa"/>
              <w:start w:w="120" w:type="dxa"/>
              <w:bottom w:w="100" w:type="dxa"/>
              <w:end w:w="120" w:type="dxa"/>
            </w:tcMar>
            <w:tcW w:w="2448" w:type="dxa"/>
          </w:tcPr>
          <w:p>
            <w:pPr>
              <w:spacing w:after="0"/>
            </w:pPr>
            <w:r>
              <w:rPr>
                <w:sz w:val="17"/>
              </w:rPr>
              <w:t>Operation count by status</w:t>
            </w:r>
          </w:p>
        </w:tc>
        <w:tc>
          <w:tcPr>
            <w:tcW w:type="dxa" w:w="3331"/>
            <w:vAlign w:val="center"/>
            <w:tcMar>
              <w:top w:w="100" w:type="dxa"/>
              <w:start w:w="120" w:type="dxa"/>
              <w:bottom w:w="100" w:type="dxa"/>
              <w:end w:w="120" w:type="dxa"/>
            </w:tcMar>
            <w:tcW w:w="3528" w:type="dxa"/>
          </w:tcPr>
          <w:p>
            <w:pPr>
              <w:spacing w:after="0"/>
            </w:pPr>
            <w:r>
              <w:rPr>
                <w:sz w:val="17"/>
              </w:rPr>
              <w:t>Measure successful, rejected and failed operations</w:t>
            </w:r>
          </w:p>
        </w:tc>
        <w:tc>
          <w:tcPr>
            <w:tcW w:type="dxa" w:w="3331"/>
            <w:vAlign w:val="center"/>
            <w:tcMar>
              <w:top w:w="100" w:type="dxa"/>
              <w:start w:w="120" w:type="dxa"/>
              <w:bottom w:w="100" w:type="dxa"/>
              <w:end w:w="120" w:type="dxa"/>
            </w:tcMar>
            <w:tcW w:w="4392" w:type="dxa"/>
          </w:tcPr>
          <w:p>
            <w:pPr>
              <w:spacing w:after="0"/>
            </w:pPr>
            <w:r>
              <w:rPr>
                <w:sz w:val="17"/>
              </w:rPr>
              <w:t>Detect regressions, rejection spikes and availability problems</w:t>
            </w:r>
          </w:p>
        </w:tc>
      </w:tr>
      <w:tr>
        <w:tc>
          <w:tcPr>
            <w:tcW w:type="dxa" w:w="3331"/>
            <w:shd w:fill="F7F8FC"/>
            <w:vAlign w:val="center"/>
            <w:tcMar>
              <w:top w:w="100" w:type="dxa"/>
              <w:start w:w="120" w:type="dxa"/>
              <w:bottom w:w="100" w:type="dxa"/>
              <w:end w:w="120" w:type="dxa"/>
            </w:tcMar>
            <w:tcW w:w="2448" w:type="dxa"/>
          </w:tcPr>
          <w:p>
            <w:pPr>
              <w:spacing w:after="0"/>
            </w:pPr>
            <w:r>
              <w:rPr>
                <w:sz w:val="17"/>
              </w:rPr>
              <w:t>Operation duration</w:t>
            </w:r>
          </w:p>
        </w:tc>
        <w:tc>
          <w:tcPr>
            <w:tcW w:type="dxa" w:w="3331"/>
            <w:shd w:fill="F7F8FC"/>
            <w:vAlign w:val="center"/>
            <w:tcMar>
              <w:top w:w="100" w:type="dxa"/>
              <w:start w:w="120" w:type="dxa"/>
              <w:bottom w:w="100" w:type="dxa"/>
              <w:end w:w="120" w:type="dxa"/>
            </w:tcMar>
            <w:tcW w:w="3528" w:type="dxa"/>
          </w:tcPr>
          <w:p>
            <w:pPr>
              <w:spacing w:after="0"/>
            </w:pPr>
            <w:r>
              <w:rPr>
                <w:sz w:val="17"/>
              </w:rPr>
              <w:t>Measure latency distribution</w:t>
            </w:r>
          </w:p>
        </w:tc>
        <w:tc>
          <w:tcPr>
            <w:tcW w:type="dxa" w:w="3331"/>
            <w:shd w:fill="F7F8FC"/>
            <w:vAlign w:val="center"/>
            <w:tcMar>
              <w:top w:w="100" w:type="dxa"/>
              <w:start w:w="120" w:type="dxa"/>
              <w:bottom w:w="100" w:type="dxa"/>
              <w:end w:w="120" w:type="dxa"/>
            </w:tcMar>
            <w:tcW w:w="4392" w:type="dxa"/>
          </w:tcPr>
          <w:p>
            <w:pPr>
              <w:spacing w:after="0"/>
            </w:pPr>
            <w:r>
              <w:rPr>
                <w:sz w:val="17"/>
              </w:rPr>
              <w:t>Find slow releases and establish performance targets</w:t>
            </w:r>
          </w:p>
        </w:tc>
      </w:tr>
      <w:tr>
        <w:tc>
          <w:tcPr>
            <w:tcW w:type="dxa" w:w="3331"/>
            <w:vAlign w:val="center"/>
            <w:tcMar>
              <w:top w:w="100" w:type="dxa"/>
              <w:start w:w="120" w:type="dxa"/>
              <w:bottom w:w="100" w:type="dxa"/>
              <w:end w:w="120" w:type="dxa"/>
            </w:tcMar>
            <w:tcW w:w="2448" w:type="dxa"/>
          </w:tcPr>
          <w:p>
            <w:pPr>
              <w:spacing w:after="0"/>
            </w:pPr>
            <w:r>
              <w:rPr>
                <w:sz w:val="17"/>
              </w:rPr>
              <w:t>Agent tool-call status</w:t>
            </w:r>
          </w:p>
        </w:tc>
        <w:tc>
          <w:tcPr>
            <w:tcW w:type="dxa" w:w="3331"/>
            <w:vAlign w:val="center"/>
            <w:tcMar>
              <w:top w:w="100" w:type="dxa"/>
              <w:start w:w="120" w:type="dxa"/>
              <w:bottom w:w="100" w:type="dxa"/>
              <w:end w:w="120" w:type="dxa"/>
            </w:tcMar>
            <w:tcW w:w="3528" w:type="dxa"/>
          </w:tcPr>
          <w:p>
            <w:pPr>
              <w:spacing w:after="0"/>
            </w:pPr>
            <w:r>
              <w:rPr>
                <w:sz w:val="17"/>
              </w:rPr>
              <w:t>Show whether a required tool completed</w:t>
            </w:r>
          </w:p>
        </w:tc>
        <w:tc>
          <w:tcPr>
            <w:tcW w:type="dxa" w:w="3331"/>
            <w:vAlign w:val="center"/>
            <w:tcMar>
              <w:top w:w="100" w:type="dxa"/>
              <w:start w:w="120" w:type="dxa"/>
              <w:bottom w:w="100" w:type="dxa"/>
              <w:end w:w="120" w:type="dxa"/>
            </w:tcMar>
            <w:tcW w:w="4392" w:type="dxa"/>
          </w:tcPr>
          <w:p>
            <w:pPr>
              <w:spacing w:after="0"/>
            </w:pPr>
            <w:r>
              <w:rPr>
                <w:sz w:val="17"/>
              </w:rPr>
              <w:t>Identify orchestration or permission failures</w:t>
            </w:r>
          </w:p>
        </w:tc>
      </w:tr>
      <w:tr>
        <w:tc>
          <w:tcPr>
            <w:tcW w:type="dxa" w:w="3331"/>
            <w:shd w:fill="F7F8FC"/>
            <w:vAlign w:val="center"/>
            <w:tcMar>
              <w:top w:w="100" w:type="dxa"/>
              <w:start w:w="120" w:type="dxa"/>
              <w:bottom w:w="100" w:type="dxa"/>
              <w:end w:w="120" w:type="dxa"/>
            </w:tcMar>
            <w:tcW w:w="2448" w:type="dxa"/>
          </w:tcPr>
          <w:p>
            <w:pPr>
              <w:spacing w:after="0"/>
            </w:pPr>
            <w:r>
              <w:rPr>
                <w:sz w:val="17"/>
              </w:rPr>
              <w:t>Classification and referral evaluation metrics</w:t>
            </w:r>
          </w:p>
        </w:tc>
        <w:tc>
          <w:tcPr>
            <w:tcW w:type="dxa" w:w="3331"/>
            <w:shd w:fill="F7F8FC"/>
            <w:vAlign w:val="center"/>
            <w:tcMar>
              <w:top w:w="100" w:type="dxa"/>
              <w:start w:w="120" w:type="dxa"/>
              <w:bottom w:w="100" w:type="dxa"/>
              <w:end w:w="120" w:type="dxa"/>
            </w:tcMar>
            <w:tcW w:w="3528" w:type="dxa"/>
          </w:tcPr>
          <w:p>
            <w:pPr>
              <w:spacing w:after="0"/>
            </w:pPr>
            <w:r>
              <w:rPr>
                <w:sz w:val="17"/>
              </w:rPr>
              <w:t>Measure fixture behavior outside production telemetry</w:t>
            </w:r>
          </w:p>
        </w:tc>
        <w:tc>
          <w:tcPr>
            <w:tcW w:type="dxa" w:w="3331"/>
            <w:shd w:fill="F7F8FC"/>
            <w:vAlign w:val="center"/>
            <w:tcMar>
              <w:top w:w="100" w:type="dxa"/>
              <w:start w:w="120" w:type="dxa"/>
              <w:bottom w:w="100" w:type="dxa"/>
              <w:end w:w="120" w:type="dxa"/>
            </w:tcMar>
            <w:tcW w:w="4392" w:type="dxa"/>
          </w:tcPr>
          <w:p>
            <w:pPr>
              <w:spacing w:after="0"/>
            </w:pPr>
            <w:r>
              <w:rPr>
                <w:sz w:val="17"/>
              </w:rPr>
              <w:t>Detect rule regressions without logging health content</w:t>
            </w:r>
          </w:p>
        </w:tc>
      </w:tr>
    </w:tbl>
    <w:p>
      <w:pPr>
        <w:spacing w:after="0"/>
      </w:pPr>
    </w:p>
    <w:p>
      <w:pPr>
        <w:pStyle w:val="Heading2"/>
        <w:keepNext/>
      </w:pPr>
      <w:r>
        <w:t>5.2 Production observability plan</w:t>
      </w:r>
    </w:p>
    <w:p>
      <w:r>
        <w:t>A production dashboard would add availability, p50/p95 latency, agent and tool error rates, bounded-loop failures, retrieval success, source-citation presence, consent outcomes, referral acknowledgement and deployment version. Health-content metrics should be computed in a separately governed analytics process using approved de-identification and minimum aggregation thresholds. Alerts would cover sustained failures, latency breaches, missing grounding, abnormal tool rejection rates and telemetry gaps.</w:t>
      </w:r>
    </w:p>
    <w:p>
      <w:pPr>
        <w:pStyle w:val="Heading1"/>
        <w:keepNext/>
      </w:pPr>
      <w:r>
        <w:t>6 Evaluation strategy</w:t>
      </w:r>
    </w:p>
    <w:p>
      <w:pPr>
        <w:pStyle w:val="Heading2"/>
        <w:keepNext/>
      </w:pPr>
      <w:r>
        <w:t>6.1 Current test assets</w:t>
      </w:r>
    </w:p>
    <w:tbl>
      <w:tblPr>
        <w:tblW w:type="auto" w:w="0"/>
        <w:jc w:val="center"/>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2498"/>
        <w:gridCol w:w="2498"/>
        <w:gridCol w:w="2498"/>
        <w:gridCol w:w="2498"/>
      </w:tblGrid>
      <w:tr>
        <w:trPr>
          <w:tblHeader w:val="true"/>
        </w:trPr>
        <w:tc>
          <w:tcPr>
            <w:tcW w:type="dxa" w:w="2498"/>
            <w:shd w:fill="17233C"/>
            <w:vAlign w:val="center"/>
            <w:tcMar>
              <w:top w:w="100" w:type="dxa"/>
              <w:start w:w="120" w:type="dxa"/>
              <w:bottom w:w="100" w:type="dxa"/>
              <w:end w:w="120" w:type="dxa"/>
            </w:tcMar>
            <w:tcW w:w="2160" w:type="dxa"/>
          </w:tcPr>
          <w:p>
            <w:r>
              <w:rPr>
                <w:b/>
                <w:color w:val="FFFFFF"/>
                <w:sz w:val="18"/>
              </w:rPr>
              <w:t>Asset</w:t>
            </w:r>
          </w:p>
        </w:tc>
        <w:tc>
          <w:tcPr>
            <w:tcW w:type="dxa" w:w="2498"/>
            <w:shd w:fill="17233C"/>
            <w:vAlign w:val="center"/>
            <w:tcMar>
              <w:top w:w="100" w:type="dxa"/>
              <w:start w:w="120" w:type="dxa"/>
              <w:bottom w:w="100" w:type="dxa"/>
              <w:end w:w="120" w:type="dxa"/>
            </w:tcMar>
            <w:tcW w:w="3528" w:type="dxa"/>
          </w:tcPr>
          <w:p>
            <w:r>
              <w:rPr>
                <w:b/>
                <w:color w:val="FFFFFF"/>
                <w:sz w:val="18"/>
              </w:rPr>
              <w:t>Scope</w:t>
            </w:r>
          </w:p>
        </w:tc>
        <w:tc>
          <w:tcPr>
            <w:tcW w:type="dxa" w:w="2498"/>
            <w:shd w:fill="17233C"/>
            <w:vAlign w:val="center"/>
            <w:tcMar>
              <w:top w:w="100" w:type="dxa"/>
              <w:start w:w="120" w:type="dxa"/>
              <w:bottom w:w="100" w:type="dxa"/>
              <w:end w:w="120" w:type="dxa"/>
            </w:tcMar>
            <w:tcW w:w="2808" w:type="dxa"/>
          </w:tcPr>
          <w:p>
            <w:r>
              <w:rPr>
                <w:b/>
                <w:color w:val="FFFFFF"/>
                <w:sz w:val="18"/>
              </w:rPr>
              <w:t>Current result</w:t>
            </w:r>
          </w:p>
        </w:tc>
        <w:tc>
          <w:tcPr>
            <w:tcW w:type="dxa" w:w="2498"/>
            <w:shd w:fill="17233C"/>
            <w:vAlign w:val="center"/>
            <w:tcMar>
              <w:top w:w="100" w:type="dxa"/>
              <w:start w:w="120" w:type="dxa"/>
              <w:bottom w:w="100" w:type="dxa"/>
              <w:end w:w="120" w:type="dxa"/>
            </w:tcMar>
            <w:tcW w:w="1944" w:type="dxa"/>
          </w:tcPr>
          <w:p>
            <w:r>
              <w:rPr>
                <w:b/>
                <w:color w:val="FFFFFF"/>
                <w:sz w:val="18"/>
              </w:rPr>
              <w:t>Limit</w:t>
            </w:r>
          </w:p>
        </w:tc>
      </w:tr>
      <w:tr>
        <w:tc>
          <w:tcPr>
            <w:tcW w:type="dxa" w:w="2498"/>
            <w:vAlign w:val="center"/>
            <w:tcMar>
              <w:top w:w="100" w:type="dxa"/>
              <w:start w:w="120" w:type="dxa"/>
              <w:bottom w:w="100" w:type="dxa"/>
              <w:end w:w="120" w:type="dxa"/>
            </w:tcMar>
            <w:tcW w:w="2160" w:type="dxa"/>
          </w:tcPr>
          <w:p>
            <w:pPr>
              <w:spacing w:after="0"/>
            </w:pPr>
            <w:r>
              <w:rPr>
                <w:sz w:val="17"/>
              </w:rPr>
              <w:t>Automated tests</w:t>
            </w:r>
          </w:p>
        </w:tc>
        <w:tc>
          <w:tcPr>
            <w:tcW w:type="dxa" w:w="2498"/>
            <w:vAlign w:val="center"/>
            <w:tcMar>
              <w:top w:w="100" w:type="dxa"/>
              <w:start w:w="120" w:type="dxa"/>
              <w:bottom w:w="100" w:type="dxa"/>
              <w:end w:w="120" w:type="dxa"/>
            </w:tcMar>
            <w:tcW w:w="3528" w:type="dxa"/>
          </w:tcPr>
          <w:p>
            <w:pPr>
              <w:spacing w:after="0"/>
            </w:pPr>
            <w:r>
              <w:rPr>
                <w:sz w:val="17"/>
              </w:rPr>
              <w:t>Rules, API security, session isolation, consent, facilities and agent boundaries</w:t>
            </w:r>
          </w:p>
        </w:tc>
        <w:tc>
          <w:tcPr>
            <w:tcW w:type="dxa" w:w="2498"/>
            <w:vAlign w:val="center"/>
            <w:tcMar>
              <w:top w:w="100" w:type="dxa"/>
              <w:start w:w="120" w:type="dxa"/>
              <w:bottom w:w="100" w:type="dxa"/>
              <w:end w:w="120" w:type="dxa"/>
            </w:tcMar>
            <w:tcW w:w="2808" w:type="dxa"/>
          </w:tcPr>
          <w:p>
            <w:pPr>
              <w:spacing w:after="0"/>
            </w:pPr>
            <w:r>
              <w:rPr>
                <w:sz w:val="17"/>
              </w:rPr>
              <w:t>25 of 25 pass</w:t>
            </w:r>
          </w:p>
        </w:tc>
        <w:tc>
          <w:tcPr>
            <w:tcW w:type="dxa" w:w="2498"/>
            <w:vAlign w:val="center"/>
            <w:tcMar>
              <w:top w:w="100" w:type="dxa"/>
              <w:start w:w="120" w:type="dxa"/>
              <w:bottom w:w="100" w:type="dxa"/>
              <w:end w:w="120" w:type="dxa"/>
            </w:tcMar>
            <w:tcW w:w="1944" w:type="dxa"/>
          </w:tcPr>
          <w:p>
            <w:pPr>
              <w:spacing w:after="0"/>
            </w:pPr>
            <w:r>
              <w:rPr>
                <w:sz w:val="17"/>
              </w:rPr>
              <w:t>Regression tests over known implementation</w:t>
            </w:r>
          </w:p>
        </w:tc>
      </w:tr>
      <w:tr>
        <w:tc>
          <w:tcPr>
            <w:tcW w:type="dxa" w:w="2498"/>
            <w:shd w:fill="F7F8FC"/>
            <w:vAlign w:val="center"/>
            <w:tcMar>
              <w:top w:w="100" w:type="dxa"/>
              <w:start w:w="120" w:type="dxa"/>
              <w:bottom w:w="100" w:type="dxa"/>
              <w:end w:w="120" w:type="dxa"/>
            </w:tcMar>
            <w:tcW w:w="2160" w:type="dxa"/>
          </w:tcPr>
          <w:p>
            <w:pPr>
              <w:spacing w:after="0"/>
            </w:pPr>
            <w:r>
              <w:rPr>
                <w:sz w:val="17"/>
              </w:rPr>
              <w:t>24-case fixture evaluation</w:t>
            </w:r>
          </w:p>
        </w:tc>
        <w:tc>
          <w:tcPr>
            <w:tcW w:type="dxa" w:w="2498"/>
            <w:shd w:fill="F7F8FC"/>
            <w:vAlign w:val="center"/>
            <w:tcMar>
              <w:top w:w="100" w:type="dxa"/>
              <w:start w:w="120" w:type="dxa"/>
              <w:bottom w:w="100" w:type="dxa"/>
              <w:end w:w="120" w:type="dxa"/>
            </w:tcMar>
            <w:tcW w:w="3528" w:type="dxa"/>
          </w:tcPr>
          <w:p>
            <w:pPr>
              <w:spacing w:after="0"/>
            </w:pPr>
            <w:r>
              <w:rPr>
                <w:sz w:val="17"/>
              </w:rPr>
              <w:t>Classification and capability matching</w:t>
            </w:r>
          </w:p>
        </w:tc>
        <w:tc>
          <w:tcPr>
            <w:tcW w:type="dxa" w:w="2498"/>
            <w:shd w:fill="F7F8FC"/>
            <w:vAlign w:val="center"/>
            <w:tcMar>
              <w:top w:w="100" w:type="dxa"/>
              <w:start w:w="120" w:type="dxa"/>
              <w:bottom w:w="100" w:type="dxa"/>
              <w:end w:w="120" w:type="dxa"/>
            </w:tcMar>
            <w:tcW w:w="2808" w:type="dxa"/>
          </w:tcPr>
          <w:p>
            <w:pPr>
              <w:spacing w:after="0"/>
            </w:pPr>
            <w:r>
              <w:rPr>
                <w:sz w:val="17"/>
              </w:rPr>
              <w:t>19/24 labels; 7/7 emergencies; 19/19 nonroutine referral capability matches</w:t>
            </w:r>
          </w:p>
        </w:tc>
        <w:tc>
          <w:tcPr>
            <w:tcW w:type="dxa" w:w="2498"/>
            <w:shd w:fill="F7F8FC"/>
            <w:vAlign w:val="center"/>
            <w:tcMar>
              <w:top w:w="100" w:type="dxa"/>
              <w:start w:w="120" w:type="dxa"/>
              <w:bottom w:w="100" w:type="dxa"/>
              <w:end w:w="120" w:type="dxa"/>
            </w:tcMar>
            <w:tcW w:w="1944" w:type="dxa"/>
          </w:tcPr>
          <w:p>
            <w:pPr>
              <w:spacing w:after="0"/>
            </w:pPr>
            <w:r>
              <w:rPr>
                <w:sz w:val="17"/>
              </w:rPr>
              <w:t>Five normal fixtures remain unassessed</w:t>
            </w:r>
          </w:p>
        </w:tc>
      </w:tr>
      <w:tr>
        <w:tc>
          <w:tcPr>
            <w:tcW w:type="dxa" w:w="2498"/>
            <w:vAlign w:val="center"/>
            <w:tcMar>
              <w:top w:w="100" w:type="dxa"/>
              <w:start w:w="120" w:type="dxa"/>
              <w:bottom w:w="100" w:type="dxa"/>
              <w:end w:w="120" w:type="dxa"/>
            </w:tcMar>
            <w:tcW w:w="2160" w:type="dxa"/>
          </w:tcPr>
          <w:p>
            <w:pPr>
              <w:spacing w:after="0"/>
            </w:pPr>
            <w:r>
              <w:rPr>
                <w:sz w:val="17"/>
              </w:rPr>
              <w:t>Foundry agent smoke test</w:t>
            </w:r>
          </w:p>
        </w:tc>
        <w:tc>
          <w:tcPr>
            <w:tcW w:type="dxa" w:w="2498"/>
            <w:vAlign w:val="center"/>
            <w:tcMar>
              <w:top w:w="100" w:type="dxa"/>
              <w:start w:w="120" w:type="dxa"/>
              <w:bottom w:w="100" w:type="dxa"/>
              <w:end w:w="120" w:type="dxa"/>
            </w:tcMar>
            <w:tcW w:w="3528" w:type="dxa"/>
          </w:tcPr>
          <w:p>
            <w:pPr>
              <w:spacing w:after="0"/>
            </w:pPr>
            <w:r>
              <w:rPr>
                <w:sz w:val="17"/>
              </w:rPr>
              <w:t>Required tool use and exact output validation</w:t>
            </w:r>
          </w:p>
        </w:tc>
        <w:tc>
          <w:tcPr>
            <w:tcW w:type="dxa" w:w="2498"/>
            <w:vAlign w:val="center"/>
            <w:tcMar>
              <w:top w:w="100" w:type="dxa"/>
              <w:start w:w="120" w:type="dxa"/>
              <w:bottom w:w="100" w:type="dxa"/>
              <w:end w:w="120" w:type="dxa"/>
            </w:tcMar>
            <w:tcW w:w="2808" w:type="dxa"/>
          </w:tcPr>
          <w:p>
            <w:pPr>
              <w:spacing w:after="0"/>
            </w:pPr>
            <w:r>
              <w:rPr>
                <w:sz w:val="17"/>
              </w:rPr>
              <w:t>Triage and referral passed for MAT-005</w:t>
            </w:r>
          </w:p>
        </w:tc>
        <w:tc>
          <w:tcPr>
            <w:tcW w:type="dxa" w:w="2498"/>
            <w:vAlign w:val="center"/>
            <w:tcMar>
              <w:top w:w="100" w:type="dxa"/>
              <w:start w:w="120" w:type="dxa"/>
              <w:bottom w:w="100" w:type="dxa"/>
              <w:end w:w="120" w:type="dxa"/>
            </w:tcMar>
            <w:tcW w:w="1944" w:type="dxa"/>
          </w:tcPr>
          <w:p>
            <w:pPr>
              <w:spacing w:after="0"/>
            </w:pPr>
            <w:r>
              <w:rPr>
                <w:sz w:val="17"/>
              </w:rPr>
              <w:t>One known synthetic case</w:t>
            </w:r>
          </w:p>
        </w:tc>
      </w:tr>
      <w:tr>
        <w:tc>
          <w:tcPr>
            <w:tcW w:type="dxa" w:w="2498"/>
            <w:shd w:fill="F7F8FC"/>
            <w:vAlign w:val="center"/>
            <w:tcMar>
              <w:top w:w="100" w:type="dxa"/>
              <w:start w:w="120" w:type="dxa"/>
              <w:bottom w:w="100" w:type="dxa"/>
              <w:end w:w="120" w:type="dxa"/>
            </w:tcMar>
            <w:tcW w:w="2160" w:type="dxa"/>
          </w:tcPr>
          <w:p>
            <w:pPr>
              <w:spacing w:after="0"/>
            </w:pPr>
            <w:r>
              <w:rPr>
                <w:sz w:val="17"/>
              </w:rPr>
              <w:t>File Search smoke test</w:t>
            </w:r>
          </w:p>
        </w:tc>
        <w:tc>
          <w:tcPr>
            <w:tcW w:type="dxa" w:w="2498"/>
            <w:shd w:fill="F7F8FC"/>
            <w:vAlign w:val="center"/>
            <w:tcMar>
              <w:top w:w="100" w:type="dxa"/>
              <w:start w:w="120" w:type="dxa"/>
              <w:bottom w:w="100" w:type="dxa"/>
              <w:end w:w="120" w:type="dxa"/>
            </w:tcMar>
            <w:tcW w:w="3528" w:type="dxa"/>
          </w:tcPr>
          <w:p>
            <w:pPr>
              <w:spacing w:after="0"/>
            </w:pPr>
            <w:r>
              <w:rPr>
                <w:sz w:val="17"/>
              </w:rPr>
              <w:t>Grounded retrieval and source URL</w:t>
            </w:r>
          </w:p>
        </w:tc>
        <w:tc>
          <w:tcPr>
            <w:tcW w:type="dxa" w:w="2498"/>
            <w:shd w:fill="F7F8FC"/>
            <w:vAlign w:val="center"/>
            <w:tcMar>
              <w:top w:w="100" w:type="dxa"/>
              <w:start w:w="120" w:type="dxa"/>
              <w:bottom w:w="100" w:type="dxa"/>
              <w:end w:w="120" w:type="dxa"/>
            </w:tcMar>
            <w:tcW w:w="2808" w:type="dxa"/>
          </w:tcPr>
          <w:p>
            <w:pPr>
              <w:spacing w:after="0"/>
            </w:pPr>
            <w:r>
              <w:rPr>
                <w:sz w:val="17"/>
              </w:rPr>
              <w:t>UNFPA query passed</w:t>
            </w:r>
          </w:p>
        </w:tc>
        <w:tc>
          <w:tcPr>
            <w:tcW w:type="dxa" w:w="2498"/>
            <w:shd w:fill="F7F8FC"/>
            <w:vAlign w:val="center"/>
            <w:tcMar>
              <w:top w:w="100" w:type="dxa"/>
              <w:start w:w="120" w:type="dxa"/>
              <w:bottom w:w="100" w:type="dxa"/>
              <w:end w:w="120" w:type="dxa"/>
            </w:tcMar>
            <w:tcW w:w="1944" w:type="dxa"/>
          </w:tcPr>
          <w:p>
            <w:pPr>
              <w:spacing w:after="0"/>
            </w:pPr>
            <w:r>
              <w:rPr>
                <w:sz w:val="17"/>
              </w:rPr>
              <w:t>Small review-pending corpus</w:t>
            </w:r>
          </w:p>
        </w:tc>
      </w:tr>
    </w:tbl>
    <w:p>
      <w:pPr>
        <w:spacing w:after="0"/>
      </w:pPr>
    </w:p>
    <w:p>
      <w:pPr>
        <w:pStyle w:val="Heading2"/>
        <w:keepNext/>
      </w:pPr>
      <w:r>
        <w:t>6.2 Evaluation criteria</w:t>
      </w:r>
    </w:p>
    <w:tbl>
      <w:tblPr>
        <w:tblW w:type="auto" w:w="0"/>
        <w:jc w:val="center"/>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3331"/>
        <w:gridCol w:w="3331"/>
        <w:gridCol w:w="3331"/>
      </w:tblGrid>
      <w:tr>
        <w:trPr>
          <w:tblHeader w:val="true"/>
        </w:trPr>
        <w:tc>
          <w:tcPr>
            <w:tcW w:type="dxa" w:w="3331"/>
            <w:shd w:fill="17233C"/>
            <w:vAlign w:val="center"/>
            <w:tcMar>
              <w:top w:w="100" w:type="dxa"/>
              <w:start w:w="120" w:type="dxa"/>
              <w:bottom w:w="100" w:type="dxa"/>
              <w:end w:w="120" w:type="dxa"/>
            </w:tcMar>
            <w:tcW w:w="2232" w:type="dxa"/>
          </w:tcPr>
          <w:p>
            <w:r>
              <w:rPr>
                <w:b/>
                <w:color w:val="FFFFFF"/>
                <w:sz w:val="18"/>
              </w:rPr>
              <w:t>Criterion</w:t>
            </w:r>
          </w:p>
        </w:tc>
        <w:tc>
          <w:tcPr>
            <w:tcW w:type="dxa" w:w="3331"/>
            <w:shd w:fill="17233C"/>
            <w:vAlign w:val="center"/>
            <w:tcMar>
              <w:top w:w="100" w:type="dxa"/>
              <w:start w:w="120" w:type="dxa"/>
              <w:bottom w:w="100" w:type="dxa"/>
              <w:end w:w="120" w:type="dxa"/>
            </w:tcMar>
            <w:tcW w:w="5472" w:type="dxa"/>
          </w:tcPr>
          <w:p>
            <w:r>
              <w:rPr>
                <w:b/>
                <w:color w:val="FFFFFF"/>
                <w:sz w:val="18"/>
              </w:rPr>
              <w:t>Measure</w:t>
            </w:r>
          </w:p>
        </w:tc>
        <w:tc>
          <w:tcPr>
            <w:tcW w:type="dxa" w:w="3331"/>
            <w:shd w:fill="17233C"/>
            <w:vAlign w:val="center"/>
            <w:tcMar>
              <w:top w:w="100" w:type="dxa"/>
              <w:start w:w="120" w:type="dxa"/>
              <w:bottom w:w="100" w:type="dxa"/>
              <w:end w:w="120" w:type="dxa"/>
            </w:tcMar>
            <w:tcW w:w="2808" w:type="dxa"/>
          </w:tcPr>
          <w:p>
            <w:r>
              <w:rPr>
                <w:b/>
                <w:color w:val="FFFFFF"/>
                <w:sz w:val="18"/>
              </w:rPr>
              <w:t>Proposed release gate</w:t>
            </w:r>
          </w:p>
        </w:tc>
      </w:tr>
      <w:tr>
        <w:tc>
          <w:tcPr>
            <w:tcW w:type="dxa" w:w="3331"/>
            <w:vAlign w:val="center"/>
            <w:tcMar>
              <w:top w:w="100" w:type="dxa"/>
              <w:start w:w="120" w:type="dxa"/>
              <w:bottom w:w="100" w:type="dxa"/>
              <w:end w:w="120" w:type="dxa"/>
            </w:tcMar>
            <w:tcW w:w="2232" w:type="dxa"/>
          </w:tcPr>
          <w:p>
            <w:pPr>
              <w:spacing w:after="0"/>
            </w:pPr>
            <w:r>
              <w:rPr>
                <w:sz w:val="17"/>
              </w:rPr>
              <w:t>Task adherence</w:t>
            </w:r>
          </w:p>
        </w:tc>
        <w:tc>
          <w:tcPr>
            <w:tcW w:type="dxa" w:w="3331"/>
            <w:vAlign w:val="center"/>
            <w:tcMar>
              <w:top w:w="100" w:type="dxa"/>
              <w:start w:w="120" w:type="dxa"/>
              <w:bottom w:w="100" w:type="dxa"/>
              <w:end w:w="120" w:type="dxa"/>
            </w:tcMar>
            <w:tcW w:w="5472" w:type="dxa"/>
          </w:tcPr>
          <w:p>
            <w:pPr>
              <w:spacing w:after="0"/>
            </w:pPr>
            <w:r>
              <w:rPr>
                <w:sz w:val="17"/>
              </w:rPr>
              <w:t>Required tool called; schema exact; no role expansion</w:t>
            </w:r>
          </w:p>
        </w:tc>
        <w:tc>
          <w:tcPr>
            <w:tcW w:type="dxa" w:w="3331"/>
            <w:vAlign w:val="center"/>
            <w:tcMar>
              <w:top w:w="100" w:type="dxa"/>
              <w:start w:w="120" w:type="dxa"/>
              <w:bottom w:w="100" w:type="dxa"/>
              <w:end w:w="120" w:type="dxa"/>
            </w:tcMar>
            <w:tcW w:w="2808" w:type="dxa"/>
          </w:tcPr>
          <w:p>
            <w:pPr>
              <w:spacing w:after="0"/>
            </w:pPr>
            <w:r>
              <w:rPr>
                <w:sz w:val="17"/>
              </w:rPr>
              <w:t>100 percent on safety-critical suite</w:t>
            </w:r>
          </w:p>
        </w:tc>
      </w:tr>
      <w:tr>
        <w:tc>
          <w:tcPr>
            <w:tcW w:type="dxa" w:w="3331"/>
            <w:shd w:fill="F7F8FC"/>
            <w:vAlign w:val="center"/>
            <w:tcMar>
              <w:top w:w="100" w:type="dxa"/>
              <w:start w:w="120" w:type="dxa"/>
              <w:bottom w:w="100" w:type="dxa"/>
              <w:end w:w="120" w:type="dxa"/>
            </w:tcMar>
            <w:tcW w:w="2232" w:type="dxa"/>
          </w:tcPr>
          <w:p>
            <w:pPr>
              <w:spacing w:after="0"/>
            </w:pPr>
            <w:r>
              <w:rPr>
                <w:sz w:val="17"/>
              </w:rPr>
              <w:t>Tool usage</w:t>
            </w:r>
          </w:p>
        </w:tc>
        <w:tc>
          <w:tcPr>
            <w:tcW w:type="dxa" w:w="3331"/>
            <w:shd w:fill="F7F8FC"/>
            <w:vAlign w:val="center"/>
            <w:tcMar>
              <w:top w:w="100" w:type="dxa"/>
              <w:start w:w="120" w:type="dxa"/>
              <w:bottom w:w="100" w:type="dxa"/>
              <w:end w:w="120" w:type="dxa"/>
            </w:tcMar>
            <w:tcW w:w="5472" w:type="dxa"/>
          </w:tcPr>
          <w:p>
            <w:pPr>
              <w:spacing w:after="0"/>
            </w:pPr>
            <w:r>
              <w:rPr>
                <w:sz w:val="17"/>
              </w:rPr>
              <w:t>Correct tool and case; bounded completion</w:t>
            </w:r>
          </w:p>
        </w:tc>
        <w:tc>
          <w:tcPr>
            <w:tcW w:type="dxa" w:w="3331"/>
            <w:shd w:fill="F7F8FC"/>
            <w:vAlign w:val="center"/>
            <w:tcMar>
              <w:top w:w="100" w:type="dxa"/>
              <w:start w:w="120" w:type="dxa"/>
              <w:bottom w:w="100" w:type="dxa"/>
              <w:end w:w="120" w:type="dxa"/>
            </w:tcMar>
            <w:tcW w:w="2808" w:type="dxa"/>
          </w:tcPr>
          <w:p>
            <w:pPr>
              <w:spacing w:after="0"/>
            </w:pPr>
            <w:r>
              <w:rPr>
                <w:sz w:val="17"/>
              </w:rPr>
              <w:t>100 percent valid calls</w:t>
            </w:r>
          </w:p>
        </w:tc>
      </w:tr>
      <w:tr>
        <w:tc>
          <w:tcPr>
            <w:tcW w:type="dxa" w:w="3331"/>
            <w:vAlign w:val="center"/>
            <w:tcMar>
              <w:top w:w="100" w:type="dxa"/>
              <w:start w:w="120" w:type="dxa"/>
              <w:bottom w:w="100" w:type="dxa"/>
              <w:end w:w="120" w:type="dxa"/>
            </w:tcMar>
            <w:tcW w:w="2232" w:type="dxa"/>
          </w:tcPr>
          <w:p>
            <w:pPr>
              <w:spacing w:after="0"/>
            </w:pPr>
            <w:r>
              <w:rPr>
                <w:sz w:val="17"/>
              </w:rPr>
              <w:t>Groundedness</w:t>
            </w:r>
          </w:p>
        </w:tc>
        <w:tc>
          <w:tcPr>
            <w:tcW w:type="dxa" w:w="3331"/>
            <w:vAlign w:val="center"/>
            <w:tcMar>
              <w:top w:w="100" w:type="dxa"/>
              <w:start w:w="120" w:type="dxa"/>
              <w:bottom w:w="100" w:type="dxa"/>
              <w:end w:w="120" w:type="dxa"/>
            </w:tcMar>
            <w:tcW w:w="5472" w:type="dxa"/>
          </w:tcPr>
          <w:p>
            <w:pPr>
              <w:spacing w:after="0"/>
            </w:pPr>
            <w:r>
              <w:rPr>
                <w:sz w:val="17"/>
              </w:rPr>
              <w:t>Claims supported by retrieved approved source</w:t>
            </w:r>
          </w:p>
        </w:tc>
        <w:tc>
          <w:tcPr>
            <w:tcW w:type="dxa" w:w="3331"/>
            <w:vAlign w:val="center"/>
            <w:tcMar>
              <w:top w:w="100" w:type="dxa"/>
              <w:start w:w="120" w:type="dxa"/>
              <w:bottom w:w="100" w:type="dxa"/>
              <w:end w:w="120" w:type="dxa"/>
            </w:tcMar>
            <w:tcW w:w="2808" w:type="dxa"/>
          </w:tcPr>
          <w:p>
            <w:pPr>
              <w:spacing w:after="0"/>
            </w:pPr>
            <w:r>
              <w:rPr>
                <w:sz w:val="17"/>
              </w:rPr>
              <w:t>No unsupported clinical claims</w:t>
            </w:r>
          </w:p>
        </w:tc>
      </w:tr>
      <w:tr>
        <w:tc>
          <w:tcPr>
            <w:tcW w:type="dxa" w:w="3331"/>
            <w:shd w:fill="F7F8FC"/>
            <w:vAlign w:val="center"/>
            <w:tcMar>
              <w:top w:w="100" w:type="dxa"/>
              <w:start w:w="120" w:type="dxa"/>
              <w:bottom w:w="100" w:type="dxa"/>
              <w:end w:w="120" w:type="dxa"/>
            </w:tcMar>
            <w:tcW w:w="2232" w:type="dxa"/>
          </w:tcPr>
          <w:p>
            <w:pPr>
              <w:spacing w:after="0"/>
            </w:pPr>
            <w:r>
              <w:rPr>
                <w:sz w:val="17"/>
              </w:rPr>
              <w:t>Relevance and coherence</w:t>
            </w:r>
          </w:p>
        </w:tc>
        <w:tc>
          <w:tcPr>
            <w:tcW w:type="dxa" w:w="3331"/>
            <w:shd w:fill="F7F8FC"/>
            <w:vAlign w:val="center"/>
            <w:tcMar>
              <w:top w:w="100" w:type="dxa"/>
              <w:start w:w="120" w:type="dxa"/>
              <w:bottom w:w="100" w:type="dxa"/>
              <w:end w:w="120" w:type="dxa"/>
            </w:tcMar>
            <w:tcW w:w="5472" w:type="dxa"/>
          </w:tcPr>
          <w:p>
            <w:pPr>
              <w:spacing w:after="0"/>
            </w:pPr>
            <w:r>
              <w:rPr>
                <w:sz w:val="17"/>
              </w:rPr>
              <w:t>Response answers the request clearly</w:t>
            </w:r>
          </w:p>
        </w:tc>
        <w:tc>
          <w:tcPr>
            <w:tcW w:type="dxa" w:w="3331"/>
            <w:shd w:fill="F7F8FC"/>
            <w:vAlign w:val="center"/>
            <w:tcMar>
              <w:top w:w="100" w:type="dxa"/>
              <w:start w:w="120" w:type="dxa"/>
              <w:bottom w:w="100" w:type="dxa"/>
              <w:end w:w="120" w:type="dxa"/>
            </w:tcMar>
            <w:tcW w:w="2808" w:type="dxa"/>
          </w:tcPr>
          <w:p>
            <w:pPr>
              <w:spacing w:after="0"/>
            </w:pPr>
            <w:r>
              <w:rPr>
                <w:sz w:val="17"/>
              </w:rPr>
              <w:t>Human-reviewed threshold on held-out set</w:t>
            </w:r>
          </w:p>
        </w:tc>
      </w:tr>
      <w:tr>
        <w:tc>
          <w:tcPr>
            <w:tcW w:type="dxa" w:w="3331"/>
            <w:vAlign w:val="center"/>
            <w:tcMar>
              <w:top w:w="100" w:type="dxa"/>
              <w:start w:w="120" w:type="dxa"/>
              <w:bottom w:w="100" w:type="dxa"/>
              <w:end w:w="120" w:type="dxa"/>
            </w:tcMar>
            <w:tcW w:w="2232" w:type="dxa"/>
          </w:tcPr>
          <w:p>
            <w:pPr>
              <w:spacing w:after="0"/>
            </w:pPr>
            <w:r>
              <w:rPr>
                <w:sz w:val="17"/>
              </w:rPr>
              <w:t>Safety</w:t>
            </w:r>
          </w:p>
        </w:tc>
        <w:tc>
          <w:tcPr>
            <w:tcW w:type="dxa" w:w="3331"/>
            <w:vAlign w:val="center"/>
            <w:tcMar>
              <w:top w:w="100" w:type="dxa"/>
              <w:start w:w="120" w:type="dxa"/>
              <w:bottom w:w="100" w:type="dxa"/>
              <w:end w:w="120" w:type="dxa"/>
            </w:tcMar>
            <w:tcW w:w="5472" w:type="dxa"/>
          </w:tcPr>
          <w:p>
            <w:pPr>
              <w:spacing w:after="0"/>
            </w:pPr>
            <w:r>
              <w:rPr>
                <w:sz w:val="17"/>
              </w:rPr>
              <w:t>No diagnosis, prescription, reassurance, fabricated facility or false dispatch claim</w:t>
            </w:r>
          </w:p>
        </w:tc>
        <w:tc>
          <w:tcPr>
            <w:tcW w:type="dxa" w:w="3331"/>
            <w:vAlign w:val="center"/>
            <w:tcMar>
              <w:top w:w="100" w:type="dxa"/>
              <w:start w:w="120" w:type="dxa"/>
              <w:bottom w:w="100" w:type="dxa"/>
              <w:end w:w="120" w:type="dxa"/>
            </w:tcMar>
            <w:tcW w:w="2808" w:type="dxa"/>
          </w:tcPr>
          <w:p>
            <w:pPr>
              <w:spacing w:after="0"/>
            </w:pPr>
            <w:r>
              <w:rPr>
                <w:sz w:val="17"/>
              </w:rPr>
              <w:t>Zero critical violations</w:t>
            </w:r>
          </w:p>
        </w:tc>
      </w:tr>
      <w:tr>
        <w:tc>
          <w:tcPr>
            <w:tcW w:type="dxa" w:w="3331"/>
            <w:shd w:fill="F7F8FC"/>
            <w:vAlign w:val="center"/>
            <w:tcMar>
              <w:top w:w="100" w:type="dxa"/>
              <w:start w:w="120" w:type="dxa"/>
              <w:bottom w:w="100" w:type="dxa"/>
              <w:end w:w="120" w:type="dxa"/>
            </w:tcMar>
            <w:tcW w:w="2232" w:type="dxa"/>
          </w:tcPr>
          <w:p>
            <w:pPr>
              <w:spacing w:after="0"/>
            </w:pPr>
            <w:r>
              <w:rPr>
                <w:sz w:val="17"/>
              </w:rPr>
              <w:t>Referral accuracy</w:t>
            </w:r>
          </w:p>
        </w:tc>
        <w:tc>
          <w:tcPr>
            <w:tcW w:type="dxa" w:w="3331"/>
            <w:shd w:fill="F7F8FC"/>
            <w:vAlign w:val="center"/>
            <w:tcMar>
              <w:top w:w="100" w:type="dxa"/>
              <w:start w:w="120" w:type="dxa"/>
              <w:bottom w:w="100" w:type="dxa"/>
              <w:end w:w="120" w:type="dxa"/>
            </w:tcMar>
            <w:tcW w:w="5472" w:type="dxa"/>
          </w:tcPr>
          <w:p>
            <w:pPr>
              <w:spacing w:after="0"/>
            </w:pPr>
            <w:r>
              <w:rPr>
                <w:sz w:val="17"/>
              </w:rPr>
              <w:t>All required capabilities present</w:t>
            </w:r>
          </w:p>
        </w:tc>
        <w:tc>
          <w:tcPr>
            <w:tcW w:type="dxa" w:w="3331"/>
            <w:shd w:fill="F7F8FC"/>
            <w:vAlign w:val="center"/>
            <w:tcMar>
              <w:top w:w="100" w:type="dxa"/>
              <w:start w:w="120" w:type="dxa"/>
              <w:bottom w:w="100" w:type="dxa"/>
              <w:end w:w="120" w:type="dxa"/>
            </w:tcMar>
            <w:tcW w:w="2808" w:type="dxa"/>
          </w:tcPr>
          <w:p>
            <w:pPr>
              <w:spacing w:after="0"/>
            </w:pPr>
            <w:r>
              <w:rPr>
                <w:sz w:val="17"/>
              </w:rPr>
              <w:t>100 percent on emergency cases</w:t>
            </w:r>
          </w:p>
        </w:tc>
      </w:tr>
      <w:tr>
        <w:tc>
          <w:tcPr>
            <w:tcW w:type="dxa" w:w="3331"/>
            <w:vAlign w:val="center"/>
            <w:tcMar>
              <w:top w:w="100" w:type="dxa"/>
              <w:start w:w="120" w:type="dxa"/>
              <w:bottom w:w="100" w:type="dxa"/>
              <w:end w:w="120" w:type="dxa"/>
            </w:tcMar>
            <w:tcW w:w="2232" w:type="dxa"/>
          </w:tcPr>
          <w:p>
            <w:pPr>
              <w:spacing w:after="0"/>
            </w:pPr>
            <w:r>
              <w:rPr>
                <w:sz w:val="17"/>
              </w:rPr>
              <w:t>Emergency recall</w:t>
            </w:r>
          </w:p>
        </w:tc>
        <w:tc>
          <w:tcPr>
            <w:tcW w:type="dxa" w:w="3331"/>
            <w:vAlign w:val="center"/>
            <w:tcMar>
              <w:top w:w="100" w:type="dxa"/>
              <w:start w:w="120" w:type="dxa"/>
              <w:bottom w:w="100" w:type="dxa"/>
              <w:end w:w="120" w:type="dxa"/>
            </w:tcMar>
            <w:tcW w:w="5472" w:type="dxa"/>
          </w:tcPr>
          <w:p>
            <w:pPr>
              <w:spacing w:after="0"/>
            </w:pPr>
            <w:r>
              <w:rPr>
                <w:sz w:val="17"/>
              </w:rPr>
              <w:t>Expected emergencies escalated</w:t>
            </w:r>
          </w:p>
        </w:tc>
        <w:tc>
          <w:tcPr>
            <w:tcW w:type="dxa" w:w="3331"/>
            <w:vAlign w:val="center"/>
            <w:tcMar>
              <w:top w:w="100" w:type="dxa"/>
              <w:start w:w="120" w:type="dxa"/>
              <w:bottom w:w="100" w:type="dxa"/>
              <w:end w:w="120" w:type="dxa"/>
            </w:tcMar>
            <w:tcW w:w="2808" w:type="dxa"/>
          </w:tcPr>
          <w:p>
            <w:pPr>
              <w:spacing w:after="0"/>
            </w:pPr>
            <w:r>
              <w:rPr>
                <w:sz w:val="17"/>
              </w:rPr>
              <w:t>100 percent on approved benchmark</w:t>
            </w:r>
          </w:p>
        </w:tc>
      </w:tr>
      <w:tr>
        <w:tc>
          <w:tcPr>
            <w:tcW w:type="dxa" w:w="3331"/>
            <w:shd w:fill="F7F8FC"/>
            <w:vAlign w:val="center"/>
            <w:tcMar>
              <w:top w:w="100" w:type="dxa"/>
              <w:start w:w="120" w:type="dxa"/>
              <w:bottom w:w="100" w:type="dxa"/>
              <w:end w:w="120" w:type="dxa"/>
            </w:tcMar>
            <w:tcW w:w="2232" w:type="dxa"/>
          </w:tcPr>
          <w:p>
            <w:pPr>
              <w:spacing w:after="0"/>
            </w:pPr>
            <w:r>
              <w:rPr>
                <w:sz w:val="17"/>
              </w:rPr>
              <w:t>Latency and reliability</w:t>
            </w:r>
          </w:p>
        </w:tc>
        <w:tc>
          <w:tcPr>
            <w:tcW w:type="dxa" w:w="3331"/>
            <w:shd w:fill="F7F8FC"/>
            <w:vAlign w:val="center"/>
            <w:tcMar>
              <w:top w:w="100" w:type="dxa"/>
              <w:start w:w="120" w:type="dxa"/>
              <w:bottom w:w="100" w:type="dxa"/>
              <w:end w:w="120" w:type="dxa"/>
            </w:tcMar>
            <w:tcW w:w="5472" w:type="dxa"/>
          </w:tcPr>
          <w:p>
            <w:pPr>
              <w:spacing w:after="0"/>
            </w:pPr>
            <w:r>
              <w:rPr>
                <w:sz w:val="17"/>
              </w:rPr>
              <w:t>p95 completion and successful run rate</w:t>
            </w:r>
          </w:p>
        </w:tc>
        <w:tc>
          <w:tcPr>
            <w:tcW w:type="dxa" w:w="3331"/>
            <w:shd w:fill="F7F8FC"/>
            <w:vAlign w:val="center"/>
            <w:tcMar>
              <w:top w:w="100" w:type="dxa"/>
              <w:start w:w="120" w:type="dxa"/>
              <w:bottom w:w="100" w:type="dxa"/>
              <w:end w:w="120" w:type="dxa"/>
            </w:tcMar>
            <w:tcW w:w="2808" w:type="dxa"/>
          </w:tcPr>
          <w:p>
            <w:pPr>
              <w:spacing w:after="0"/>
            </w:pPr>
            <w:r>
              <w:rPr>
                <w:sz w:val="17"/>
              </w:rPr>
              <w:t>Target set after load test</w:t>
            </w:r>
          </w:p>
        </w:tc>
      </w:tr>
    </w:tbl>
    <w:p>
      <w:pPr>
        <w:spacing w:after="0"/>
      </w:pPr>
    </w:p>
    <w:p>
      <w:pPr>
        <w:pStyle w:val="Heading2"/>
        <w:keepNext/>
      </w:pPr>
      <w:r>
        <w:t>6.3 Development lifecycle integration</w:t>
      </w:r>
    </w:p>
    <w:p>
      <w:r>
        <w:t>Every rule, prompt, model, tool schema, corpus or facility-vocabulary change should create a versioned evaluation run. Pull-request checks run deterministic tests and the fixture evaluation. A staging gate runs held-out Foundry tests for grounding, safety, prompt injection, tool misuse and unavailable resources. Clinical and operational owners review failures and approve release evidence. After deployment, aggregate monitoring and sampled, authorized quality review feed new regression cases. Agent versions remain immutable so changes can be compared and rolled back.</w:t>
      </w:r>
    </w:p>
    <w:p>
      <w:pPr>
        <w:pStyle w:val="Heading1"/>
        <w:keepNext/>
      </w:pPr>
      <w:r>
        <w:t>7 Governance reliability and safety</w:t>
      </w:r>
    </w:p>
    <w:tbl>
      <w:tblPr>
        <w:tblW w:type="auto" w:w="0"/>
        <w:jc w:val="center"/>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3331"/>
        <w:gridCol w:w="3331"/>
        <w:gridCol w:w="3331"/>
      </w:tblGrid>
      <w:tr>
        <w:trPr>
          <w:tblHeader w:val="true"/>
        </w:trPr>
        <w:tc>
          <w:tcPr>
            <w:tcW w:type="dxa" w:w="3331"/>
            <w:shd w:fill="17233C"/>
            <w:vAlign w:val="center"/>
            <w:tcMar>
              <w:top w:w="100" w:type="dxa"/>
              <w:start w:w="120" w:type="dxa"/>
              <w:bottom w:w="100" w:type="dxa"/>
              <w:end w:w="120" w:type="dxa"/>
            </w:tcMar>
            <w:tcW w:w="2088" w:type="dxa"/>
          </w:tcPr>
          <w:p>
            <w:r>
              <w:rPr>
                <w:b/>
                <w:color w:val="FFFFFF"/>
                <w:sz w:val="18"/>
              </w:rPr>
              <w:t>Risk</w:t>
            </w:r>
          </w:p>
        </w:tc>
        <w:tc>
          <w:tcPr>
            <w:tcW w:type="dxa" w:w="3331"/>
            <w:shd w:fill="17233C"/>
            <w:vAlign w:val="center"/>
            <w:tcMar>
              <w:top w:w="100" w:type="dxa"/>
              <w:start w:w="120" w:type="dxa"/>
              <w:bottom w:w="100" w:type="dxa"/>
              <w:end w:w="120" w:type="dxa"/>
            </w:tcMar>
            <w:tcW w:w="4320" w:type="dxa"/>
          </w:tcPr>
          <w:p>
            <w:r>
              <w:rPr>
                <w:b/>
                <w:color w:val="FFFFFF"/>
                <w:sz w:val="18"/>
              </w:rPr>
              <w:t>Implemented control</w:t>
            </w:r>
          </w:p>
        </w:tc>
        <w:tc>
          <w:tcPr>
            <w:tcW w:type="dxa" w:w="3331"/>
            <w:shd w:fill="17233C"/>
            <w:vAlign w:val="center"/>
            <w:tcMar>
              <w:top w:w="100" w:type="dxa"/>
              <w:start w:w="120" w:type="dxa"/>
              <w:bottom w:w="100" w:type="dxa"/>
              <w:end w:w="120" w:type="dxa"/>
            </w:tcMar>
            <w:tcW w:w="4104" w:type="dxa"/>
          </w:tcPr>
          <w:p>
            <w:r>
              <w:rPr>
                <w:b/>
                <w:color w:val="FFFFFF"/>
                <w:sz w:val="18"/>
              </w:rPr>
              <w:t>Production requirement</w:t>
            </w:r>
          </w:p>
        </w:tc>
      </w:tr>
      <w:tr>
        <w:tc>
          <w:tcPr>
            <w:tcW w:type="dxa" w:w="3331"/>
            <w:vAlign w:val="center"/>
            <w:tcMar>
              <w:top w:w="100" w:type="dxa"/>
              <w:start w:w="120" w:type="dxa"/>
              <w:bottom w:w="100" w:type="dxa"/>
              <w:end w:w="120" w:type="dxa"/>
            </w:tcMar>
            <w:tcW w:w="2088" w:type="dxa"/>
          </w:tcPr>
          <w:p>
            <w:pPr>
              <w:spacing w:after="0"/>
            </w:pPr>
            <w:r>
              <w:rPr>
                <w:sz w:val="17"/>
              </w:rPr>
              <w:t>Unsafe medical generation</w:t>
            </w:r>
          </w:p>
        </w:tc>
        <w:tc>
          <w:tcPr>
            <w:tcW w:type="dxa" w:w="3331"/>
            <w:vAlign w:val="center"/>
            <w:tcMar>
              <w:top w:w="100" w:type="dxa"/>
              <w:start w:w="120" w:type="dxa"/>
              <w:bottom w:w="100" w:type="dxa"/>
              <w:end w:w="120" w:type="dxa"/>
            </w:tcMar>
            <w:tcW w:w="4320" w:type="dxa"/>
          </w:tcPr>
          <w:p>
            <w:pPr>
              <w:spacing w:after="0"/>
            </w:pPr>
            <w:r>
              <w:rPr>
                <w:sz w:val="17"/>
              </w:rPr>
              <w:t>Deterministic rules; prompts prohibit diagnosis/prescription; exact output validation</w:t>
            </w:r>
          </w:p>
        </w:tc>
        <w:tc>
          <w:tcPr>
            <w:tcW w:type="dxa" w:w="3331"/>
            <w:vAlign w:val="center"/>
            <w:tcMar>
              <w:top w:w="100" w:type="dxa"/>
              <w:start w:w="120" w:type="dxa"/>
              <w:bottom w:w="100" w:type="dxa"/>
              <w:end w:w="120" w:type="dxa"/>
            </w:tcMar>
            <w:tcW w:w="4104" w:type="dxa"/>
          </w:tcPr>
          <w:p>
            <w:pPr>
              <w:spacing w:after="0"/>
            </w:pPr>
            <w:r>
              <w:rPr>
                <w:sz w:val="17"/>
              </w:rPr>
              <w:t>Clinical validation, content policy, red-team evidence and escalation ownership</w:t>
            </w:r>
          </w:p>
        </w:tc>
      </w:tr>
      <w:tr>
        <w:tc>
          <w:tcPr>
            <w:tcW w:type="dxa" w:w="3331"/>
            <w:shd w:fill="F7F8FC"/>
            <w:vAlign w:val="center"/>
            <w:tcMar>
              <w:top w:w="100" w:type="dxa"/>
              <w:start w:w="120" w:type="dxa"/>
              <w:bottom w:w="100" w:type="dxa"/>
              <w:end w:w="120" w:type="dxa"/>
            </w:tcMar>
            <w:tcW w:w="2088" w:type="dxa"/>
          </w:tcPr>
          <w:p>
            <w:pPr>
              <w:spacing w:after="0"/>
            </w:pPr>
            <w:r>
              <w:rPr>
                <w:sz w:val="17"/>
              </w:rPr>
              <w:t>False reassurance</w:t>
            </w:r>
          </w:p>
        </w:tc>
        <w:tc>
          <w:tcPr>
            <w:tcW w:type="dxa" w:w="3331"/>
            <w:shd w:fill="F7F8FC"/>
            <w:vAlign w:val="center"/>
            <w:tcMar>
              <w:top w:w="100" w:type="dxa"/>
              <w:start w:w="120" w:type="dxa"/>
              <w:bottom w:w="100" w:type="dxa"/>
              <w:end w:w="120" w:type="dxa"/>
            </w:tcMar>
            <w:tcW w:w="4320" w:type="dxa"/>
          </w:tcPr>
          <w:p>
            <w:pPr>
              <w:spacing w:after="0"/>
            </w:pPr>
            <w:r>
              <w:rPr>
                <w:sz w:val="17"/>
              </w:rPr>
              <w:t>No-match becomes unassessed, never low or safe</w:t>
            </w:r>
          </w:p>
        </w:tc>
        <w:tc>
          <w:tcPr>
            <w:tcW w:type="dxa" w:w="3331"/>
            <w:shd w:fill="F7F8FC"/>
            <w:vAlign w:val="center"/>
            <w:tcMar>
              <w:top w:w="100" w:type="dxa"/>
              <w:start w:w="120" w:type="dxa"/>
              <w:bottom w:w="100" w:type="dxa"/>
              <w:end w:w="120" w:type="dxa"/>
            </w:tcMar>
            <w:tcW w:w="4104" w:type="dxa"/>
          </w:tcPr>
          <w:p>
            <w:pPr>
              <w:spacing w:after="0"/>
            </w:pPr>
            <w:r>
              <w:rPr>
                <w:sz w:val="17"/>
              </w:rPr>
              <w:t>Clinically approved low-risk protocol</w:t>
            </w:r>
          </w:p>
        </w:tc>
      </w:tr>
      <w:tr>
        <w:tc>
          <w:tcPr>
            <w:tcW w:type="dxa" w:w="3331"/>
            <w:vAlign w:val="center"/>
            <w:tcMar>
              <w:top w:w="100" w:type="dxa"/>
              <w:start w:w="120" w:type="dxa"/>
              <w:bottom w:w="100" w:type="dxa"/>
              <w:end w:w="120" w:type="dxa"/>
            </w:tcMar>
            <w:tcW w:w="2088" w:type="dxa"/>
          </w:tcPr>
          <w:p>
            <w:pPr>
              <w:spacing w:after="0"/>
            </w:pPr>
            <w:r>
              <w:rPr>
                <w:sz w:val="17"/>
              </w:rPr>
              <w:t>Fabricated facility</w:t>
            </w:r>
          </w:p>
        </w:tc>
        <w:tc>
          <w:tcPr>
            <w:tcW w:type="dxa" w:w="3331"/>
            <w:vAlign w:val="center"/>
            <w:tcMar>
              <w:top w:w="100" w:type="dxa"/>
              <w:start w:w="120" w:type="dxa"/>
              <w:bottom w:w="100" w:type="dxa"/>
              <w:end w:w="120" w:type="dxa"/>
            </w:tcMar>
            <w:tcW w:w="4320" w:type="dxa"/>
          </w:tcPr>
          <w:p>
            <w:pPr>
              <w:spacing w:after="0"/>
            </w:pPr>
            <w:r>
              <w:rPr>
                <w:sz w:val="17"/>
              </w:rPr>
              <w:t>Capability and availability filter over fictional registry</w:t>
            </w:r>
          </w:p>
        </w:tc>
        <w:tc>
          <w:tcPr>
            <w:tcW w:type="dxa" w:w="3331"/>
            <w:vAlign w:val="center"/>
            <w:tcMar>
              <w:top w:w="100" w:type="dxa"/>
              <w:start w:w="120" w:type="dxa"/>
              <w:bottom w:w="100" w:type="dxa"/>
              <w:end w:w="120" w:type="dxa"/>
            </w:tcMar>
            <w:tcW w:w="4104" w:type="dxa"/>
          </w:tcPr>
          <w:p>
            <w:pPr>
              <w:spacing w:after="0"/>
            </w:pPr>
            <w:r>
              <w:rPr>
                <w:sz w:val="17"/>
              </w:rPr>
              <w:t>Verified live directory, freshness SLA and fallback operations</w:t>
            </w:r>
          </w:p>
        </w:tc>
      </w:tr>
      <w:tr>
        <w:tc>
          <w:tcPr>
            <w:tcW w:type="dxa" w:w="3331"/>
            <w:shd w:fill="F7F8FC"/>
            <w:vAlign w:val="center"/>
            <w:tcMar>
              <w:top w:w="100" w:type="dxa"/>
              <w:start w:w="120" w:type="dxa"/>
              <w:bottom w:w="100" w:type="dxa"/>
              <w:end w:w="120" w:type="dxa"/>
            </w:tcMar>
            <w:tcW w:w="2088" w:type="dxa"/>
          </w:tcPr>
          <w:p>
            <w:pPr>
              <w:spacing w:after="0"/>
            </w:pPr>
            <w:r>
              <w:rPr>
                <w:sz w:val="17"/>
              </w:rPr>
              <w:t>Unauthorized referral</w:t>
            </w:r>
          </w:p>
        </w:tc>
        <w:tc>
          <w:tcPr>
            <w:tcW w:type="dxa" w:w="3331"/>
            <w:shd w:fill="F7F8FC"/>
            <w:vAlign w:val="center"/>
            <w:tcMar>
              <w:top w:w="100" w:type="dxa"/>
              <w:start w:w="120" w:type="dxa"/>
              <w:bottom w:w="100" w:type="dxa"/>
              <w:end w:w="120" w:type="dxa"/>
            </w:tcMar>
            <w:tcW w:w="4320" w:type="dxa"/>
          </w:tcPr>
          <w:p>
            <w:pPr>
              <w:spacing w:after="0"/>
            </w:pPr>
            <w:r>
              <w:rPr>
                <w:sz w:val="17"/>
              </w:rPr>
              <w:t>Explicit facility consent; simulated status; no dispatch tool</w:t>
            </w:r>
          </w:p>
        </w:tc>
        <w:tc>
          <w:tcPr>
            <w:tcW w:type="dxa" w:w="3331"/>
            <w:shd w:fill="F7F8FC"/>
            <w:vAlign w:val="center"/>
            <w:tcMar>
              <w:top w:w="100" w:type="dxa"/>
              <w:start w:w="120" w:type="dxa"/>
              <w:bottom w:w="100" w:type="dxa"/>
              <w:end w:w="120" w:type="dxa"/>
            </w:tcMar>
            <w:tcW w:w="4104" w:type="dxa"/>
          </w:tcPr>
          <w:p>
            <w:pPr>
              <w:spacing w:after="0"/>
            </w:pPr>
            <w:r>
              <w:rPr>
                <w:sz w:val="17"/>
              </w:rPr>
              <w:t>Strong identity, auditable consent and authorized partner integration</w:t>
            </w:r>
          </w:p>
        </w:tc>
      </w:tr>
      <w:tr>
        <w:tc>
          <w:tcPr>
            <w:tcW w:type="dxa" w:w="3331"/>
            <w:vAlign w:val="center"/>
            <w:tcMar>
              <w:top w:w="100" w:type="dxa"/>
              <w:start w:w="120" w:type="dxa"/>
              <w:bottom w:w="100" w:type="dxa"/>
              <w:end w:w="120" w:type="dxa"/>
            </w:tcMar>
            <w:tcW w:w="2088" w:type="dxa"/>
          </w:tcPr>
          <w:p>
            <w:pPr>
              <w:spacing w:after="0"/>
            </w:pPr>
            <w:r>
              <w:rPr>
                <w:sz w:val="17"/>
              </w:rPr>
              <w:t>Sensitive-data leakage</w:t>
            </w:r>
          </w:p>
        </w:tc>
        <w:tc>
          <w:tcPr>
            <w:tcW w:type="dxa" w:w="3331"/>
            <w:vAlign w:val="center"/>
            <w:tcMar>
              <w:top w:w="100" w:type="dxa"/>
              <w:start w:w="120" w:type="dxa"/>
              <w:bottom w:w="100" w:type="dxa"/>
              <w:end w:w="120" w:type="dxa"/>
            </w:tcMar>
            <w:tcW w:w="4320" w:type="dxa"/>
          </w:tcPr>
          <w:p>
            <w:pPr>
              <w:spacing w:after="0"/>
            </w:pPr>
            <w:r>
              <w:rPr>
                <w:sz w:val="17"/>
              </w:rPr>
              <w:t>Synthetic fixtures; notes not persisted; minimal telemetry</w:t>
            </w:r>
          </w:p>
        </w:tc>
        <w:tc>
          <w:tcPr>
            <w:tcW w:type="dxa" w:w="3331"/>
            <w:vAlign w:val="center"/>
            <w:tcMar>
              <w:top w:w="100" w:type="dxa"/>
              <w:start w:w="120" w:type="dxa"/>
              <w:bottom w:w="100" w:type="dxa"/>
              <w:end w:w="120" w:type="dxa"/>
            </w:tcMar>
            <w:tcW w:w="4104" w:type="dxa"/>
          </w:tcPr>
          <w:p>
            <w:pPr>
              <w:spacing w:after="0"/>
            </w:pPr>
            <w:r>
              <w:rPr>
                <w:sz w:val="17"/>
              </w:rPr>
              <w:t>DPIA, retention policy, encryption, RBAC, private networking and incident response</w:t>
            </w:r>
          </w:p>
        </w:tc>
      </w:tr>
      <w:tr>
        <w:tc>
          <w:tcPr>
            <w:tcW w:type="dxa" w:w="3331"/>
            <w:shd w:fill="F7F8FC"/>
            <w:vAlign w:val="center"/>
            <w:tcMar>
              <w:top w:w="100" w:type="dxa"/>
              <w:start w:w="120" w:type="dxa"/>
              <w:bottom w:w="100" w:type="dxa"/>
              <w:end w:w="120" w:type="dxa"/>
            </w:tcMar>
            <w:tcW w:w="2088" w:type="dxa"/>
          </w:tcPr>
          <w:p>
            <w:pPr>
              <w:spacing w:after="0"/>
            </w:pPr>
            <w:r>
              <w:rPr>
                <w:sz w:val="17"/>
              </w:rPr>
              <w:t>Prompt injection</w:t>
            </w:r>
          </w:p>
        </w:tc>
        <w:tc>
          <w:tcPr>
            <w:tcW w:type="dxa" w:w="3331"/>
            <w:shd w:fill="F7F8FC"/>
            <w:vAlign w:val="center"/>
            <w:tcMar>
              <w:top w:w="100" w:type="dxa"/>
              <w:start w:w="120" w:type="dxa"/>
              <w:bottom w:w="100" w:type="dxa"/>
              <w:end w:w="120" w:type="dxa"/>
            </w:tcMar>
            <w:tcW w:w="4320" w:type="dxa"/>
          </w:tcPr>
          <w:p>
            <w:pPr>
              <w:spacing w:after="0"/>
            </w:pPr>
            <w:r>
              <w:rPr>
                <w:sz w:val="17"/>
              </w:rPr>
              <w:t>Case content treated as data; strict tools and schemas</w:t>
            </w:r>
          </w:p>
        </w:tc>
        <w:tc>
          <w:tcPr>
            <w:tcW w:type="dxa" w:w="3331"/>
            <w:shd w:fill="F7F8FC"/>
            <w:vAlign w:val="center"/>
            <w:tcMar>
              <w:top w:w="100" w:type="dxa"/>
              <w:start w:w="120" w:type="dxa"/>
              <w:bottom w:w="100" w:type="dxa"/>
              <w:end w:w="120" w:type="dxa"/>
            </w:tcMar>
            <w:tcW w:w="4104" w:type="dxa"/>
          </w:tcPr>
          <w:p>
            <w:pPr>
              <w:spacing w:after="0"/>
            </w:pPr>
            <w:r>
              <w:rPr>
                <w:sz w:val="17"/>
              </w:rPr>
              <w:t>Adversarial suite, content isolation and continuous monitoring</w:t>
            </w:r>
          </w:p>
        </w:tc>
      </w:tr>
      <w:tr>
        <w:tc>
          <w:tcPr>
            <w:tcW w:type="dxa" w:w="3331"/>
            <w:vAlign w:val="center"/>
            <w:tcMar>
              <w:top w:w="100" w:type="dxa"/>
              <w:start w:w="120" w:type="dxa"/>
              <w:bottom w:w="100" w:type="dxa"/>
              <w:end w:w="120" w:type="dxa"/>
            </w:tcMar>
            <w:tcW w:w="2088" w:type="dxa"/>
          </w:tcPr>
          <w:p>
            <w:pPr>
              <w:spacing w:after="0"/>
            </w:pPr>
            <w:r>
              <w:rPr>
                <w:sz w:val="17"/>
              </w:rPr>
              <w:t>Model or service failure</w:t>
            </w:r>
          </w:p>
        </w:tc>
        <w:tc>
          <w:tcPr>
            <w:tcW w:type="dxa" w:w="3331"/>
            <w:vAlign w:val="center"/>
            <w:tcMar>
              <w:top w:w="100" w:type="dxa"/>
              <w:start w:w="120" w:type="dxa"/>
              <w:bottom w:w="100" w:type="dxa"/>
              <w:end w:w="120" w:type="dxa"/>
            </w:tcMar>
            <w:tcW w:w="4320" w:type="dxa"/>
          </w:tcPr>
          <w:p>
            <w:pPr>
              <w:spacing w:after="0"/>
            </w:pPr>
            <w:r>
              <w:rPr>
                <w:sz w:val="17"/>
              </w:rPr>
              <w:t>Local deterministic workflow remains authoritative</w:t>
            </w:r>
          </w:p>
        </w:tc>
        <w:tc>
          <w:tcPr>
            <w:tcW w:type="dxa" w:w="3331"/>
            <w:vAlign w:val="center"/>
            <w:tcMar>
              <w:top w:w="100" w:type="dxa"/>
              <w:start w:w="120" w:type="dxa"/>
              <w:bottom w:w="100" w:type="dxa"/>
              <w:end w:w="120" w:type="dxa"/>
            </w:tcMar>
            <w:tcW w:w="4104" w:type="dxa"/>
          </w:tcPr>
          <w:p>
            <w:pPr>
              <w:spacing w:after="0"/>
            </w:pPr>
            <w:r>
              <w:rPr>
                <w:sz w:val="17"/>
              </w:rPr>
              <w:t>Retries, timeouts, circuit breaker, operational fallback and rollback</w:t>
            </w:r>
          </w:p>
        </w:tc>
      </w:tr>
    </w:tbl>
    <w:p>
      <w:pPr>
        <w:spacing w:after="0"/>
      </w:pPr>
    </w:p>
    <w:p>
      <w:pPr>
        <w:pStyle w:val="Heading2"/>
        <w:keepNext/>
      </w:pPr>
      <w:r>
        <w:t>7.1 Consistency and maintainability</w:t>
      </w:r>
    </w:p>
    <w:p>
      <w:r>
        <w:t>Rules have a declared version and explicit precedence. Agent versions and vector-store identifiers are recorded in local ignored manifests. Infrastructure scripts are idempotent and validate existing Azure resources. Dependencies are bounded and an exact environment lock is maintained. Tests cover boundary conditions and cross-session access. Documentation records assumptions, known gaps, commands and acceptance evidence.</w:t>
      </w:r>
    </w:p>
    <w:p>
      <w:pPr>
        <w:pStyle w:val="Heading2"/>
        <w:keepNext/>
      </w:pPr>
      <w:r>
        <w:t>7.2 Human accountability</w:t>
      </w:r>
    </w:p>
    <w:p>
      <w:r>
        <w:t>A production service requires named clinical, product, privacy, security and operations owners. Clinical owners approve screening and knowledge versions; operational owners verify facility and partner availability; privacy and security owners approve data flows; and release owners sign the evaluation record. The system supports decisions but does not replace professional judgement or emergency services.</w:t>
      </w:r>
    </w:p>
    <w:p>
      <w:pPr>
        <w:pStyle w:val="Heading1"/>
        <w:keepNext/>
      </w:pPr>
      <w:r>
        <w:t>8 Deployment and improvement lifecycle</w:t>
      </w:r>
    </w:p>
    <w:tbl>
      <w:tblPr>
        <w:tblW w:type="auto" w:w="0"/>
        <w:jc w:val="center"/>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3331"/>
        <w:gridCol w:w="3331"/>
        <w:gridCol w:w="3331"/>
      </w:tblGrid>
      <w:tr>
        <w:trPr>
          <w:tblHeader w:val="true"/>
        </w:trPr>
        <w:tc>
          <w:tcPr>
            <w:tcW w:type="dxa" w:w="3331"/>
            <w:shd w:fill="17233C"/>
            <w:vAlign w:val="center"/>
            <w:tcMar>
              <w:top w:w="100" w:type="dxa"/>
              <w:start w:w="120" w:type="dxa"/>
              <w:bottom w:w="100" w:type="dxa"/>
              <w:end w:w="120" w:type="dxa"/>
            </w:tcMar>
            <w:tcW w:w="1512" w:type="dxa"/>
          </w:tcPr>
          <w:p>
            <w:r>
              <w:rPr>
                <w:b/>
                <w:color w:val="FFFFFF"/>
                <w:sz w:val="18"/>
              </w:rPr>
              <w:t>Stage</w:t>
            </w:r>
          </w:p>
        </w:tc>
        <w:tc>
          <w:tcPr>
            <w:tcW w:type="dxa" w:w="3331"/>
            <w:shd w:fill="17233C"/>
            <w:vAlign w:val="center"/>
            <w:tcMar>
              <w:top w:w="100" w:type="dxa"/>
              <w:start w:w="120" w:type="dxa"/>
              <w:bottom w:w="100" w:type="dxa"/>
              <w:end w:w="120" w:type="dxa"/>
            </w:tcMar>
            <w:tcW w:w="5472" w:type="dxa"/>
          </w:tcPr>
          <w:p>
            <w:r>
              <w:rPr>
                <w:b/>
                <w:color w:val="FFFFFF"/>
                <w:sz w:val="18"/>
              </w:rPr>
              <w:t>Action</w:t>
            </w:r>
          </w:p>
        </w:tc>
        <w:tc>
          <w:tcPr>
            <w:tcW w:type="dxa" w:w="3331"/>
            <w:shd w:fill="17233C"/>
            <w:vAlign w:val="center"/>
            <w:tcMar>
              <w:top w:w="100" w:type="dxa"/>
              <w:start w:w="120" w:type="dxa"/>
              <w:bottom w:w="100" w:type="dxa"/>
              <w:end w:w="120" w:type="dxa"/>
            </w:tcMar>
            <w:tcW w:w="3528" w:type="dxa"/>
          </w:tcPr>
          <w:p>
            <w:r>
              <w:rPr>
                <w:b/>
                <w:color w:val="FFFFFF"/>
                <w:sz w:val="18"/>
              </w:rPr>
              <w:t>Evidence or gate</w:t>
            </w:r>
          </w:p>
        </w:tc>
      </w:tr>
      <w:tr>
        <w:tc>
          <w:tcPr>
            <w:tcW w:type="dxa" w:w="3331"/>
            <w:vAlign w:val="center"/>
            <w:tcMar>
              <w:top w:w="100" w:type="dxa"/>
              <w:start w:w="120" w:type="dxa"/>
              <w:bottom w:w="100" w:type="dxa"/>
              <w:end w:w="120" w:type="dxa"/>
            </w:tcMar>
            <w:tcW w:w="1512" w:type="dxa"/>
          </w:tcPr>
          <w:p>
            <w:pPr>
              <w:spacing w:after="0"/>
            </w:pPr>
            <w:r>
              <w:rPr>
                <w:sz w:val="17"/>
              </w:rPr>
              <w:t>Develop</w:t>
            </w:r>
          </w:p>
        </w:tc>
        <w:tc>
          <w:tcPr>
            <w:tcW w:type="dxa" w:w="3331"/>
            <w:vAlign w:val="center"/>
            <w:tcMar>
              <w:top w:w="100" w:type="dxa"/>
              <w:start w:w="120" w:type="dxa"/>
              <w:bottom w:w="100" w:type="dxa"/>
              <w:end w:w="120" w:type="dxa"/>
            </w:tcMar>
            <w:tcW w:w="5472" w:type="dxa"/>
          </w:tcPr>
          <w:p>
            <w:pPr>
              <w:spacing w:after="0"/>
            </w:pPr>
            <w:r>
              <w:rPr>
                <w:sz w:val="17"/>
              </w:rPr>
              <w:t>Change code, prompt, tool, rule or corpus in version control</w:t>
            </w:r>
          </w:p>
        </w:tc>
        <w:tc>
          <w:tcPr>
            <w:tcW w:type="dxa" w:w="3331"/>
            <w:vAlign w:val="center"/>
            <w:tcMar>
              <w:top w:w="100" w:type="dxa"/>
              <w:start w:w="120" w:type="dxa"/>
              <w:bottom w:w="100" w:type="dxa"/>
              <w:end w:w="120" w:type="dxa"/>
            </w:tcMar>
            <w:tcW w:w="3528" w:type="dxa"/>
          </w:tcPr>
          <w:p>
            <w:pPr>
              <w:spacing w:after="0"/>
            </w:pPr>
            <w:r>
              <w:rPr>
                <w:sz w:val="17"/>
              </w:rPr>
              <w:t>Peer review and traceable change record</w:t>
            </w:r>
          </w:p>
        </w:tc>
      </w:tr>
      <w:tr>
        <w:tc>
          <w:tcPr>
            <w:tcW w:type="dxa" w:w="3331"/>
            <w:shd w:fill="F7F8FC"/>
            <w:vAlign w:val="center"/>
            <w:tcMar>
              <w:top w:w="100" w:type="dxa"/>
              <w:start w:w="120" w:type="dxa"/>
              <w:bottom w:w="100" w:type="dxa"/>
              <w:end w:w="120" w:type="dxa"/>
            </w:tcMar>
            <w:tcW w:w="1512" w:type="dxa"/>
          </w:tcPr>
          <w:p>
            <w:pPr>
              <w:spacing w:after="0"/>
            </w:pPr>
            <w:r>
              <w:rPr>
                <w:sz w:val="17"/>
              </w:rPr>
              <w:t>Verify</w:t>
            </w:r>
          </w:p>
        </w:tc>
        <w:tc>
          <w:tcPr>
            <w:tcW w:type="dxa" w:w="3331"/>
            <w:shd w:fill="F7F8FC"/>
            <w:vAlign w:val="center"/>
            <w:tcMar>
              <w:top w:w="100" w:type="dxa"/>
              <w:start w:w="120" w:type="dxa"/>
              <w:bottom w:w="100" w:type="dxa"/>
              <w:end w:w="120" w:type="dxa"/>
            </w:tcMar>
            <w:tcW w:w="5472" w:type="dxa"/>
          </w:tcPr>
          <w:p>
            <w:pPr>
              <w:spacing w:after="0"/>
            </w:pPr>
            <w:r>
              <w:rPr>
                <w:sz w:val="17"/>
              </w:rPr>
              <w:t>Run 25 tests and 24-case evaluation</w:t>
            </w:r>
          </w:p>
        </w:tc>
        <w:tc>
          <w:tcPr>
            <w:tcW w:type="dxa" w:w="3331"/>
            <w:shd w:fill="F7F8FC"/>
            <w:vAlign w:val="center"/>
            <w:tcMar>
              <w:top w:w="100" w:type="dxa"/>
              <w:start w:w="120" w:type="dxa"/>
              <w:bottom w:w="100" w:type="dxa"/>
              <w:end w:w="120" w:type="dxa"/>
            </w:tcMar>
            <w:tcW w:w="3528" w:type="dxa"/>
          </w:tcPr>
          <w:p>
            <w:pPr>
              <w:spacing w:after="0"/>
            </w:pPr>
            <w:r>
              <w:rPr>
                <w:sz w:val="17"/>
              </w:rPr>
              <w:t>No regression in emergency detection or safety boundaries</w:t>
            </w:r>
          </w:p>
        </w:tc>
      </w:tr>
      <w:tr>
        <w:tc>
          <w:tcPr>
            <w:tcW w:type="dxa" w:w="3331"/>
            <w:vAlign w:val="center"/>
            <w:tcMar>
              <w:top w:w="100" w:type="dxa"/>
              <w:start w:w="120" w:type="dxa"/>
              <w:bottom w:w="100" w:type="dxa"/>
              <w:end w:w="120" w:type="dxa"/>
            </w:tcMar>
            <w:tcW w:w="1512" w:type="dxa"/>
          </w:tcPr>
          <w:p>
            <w:pPr>
              <w:spacing w:after="0"/>
            </w:pPr>
            <w:r>
              <w:rPr>
                <w:sz w:val="17"/>
              </w:rPr>
              <w:t>Evaluate</w:t>
            </w:r>
          </w:p>
        </w:tc>
        <w:tc>
          <w:tcPr>
            <w:tcW w:type="dxa" w:w="3331"/>
            <w:vAlign w:val="center"/>
            <w:tcMar>
              <w:top w:w="100" w:type="dxa"/>
              <w:start w:w="120" w:type="dxa"/>
              <w:bottom w:w="100" w:type="dxa"/>
              <w:end w:w="120" w:type="dxa"/>
            </w:tcMar>
            <w:tcW w:w="5472" w:type="dxa"/>
          </w:tcPr>
          <w:p>
            <w:pPr>
              <w:spacing w:after="0"/>
            </w:pPr>
            <w:r>
              <w:rPr>
                <w:sz w:val="17"/>
              </w:rPr>
              <w:t>Run held-out Foundry quality, grounding, safety and adversarial suite</w:t>
            </w:r>
          </w:p>
        </w:tc>
        <w:tc>
          <w:tcPr>
            <w:tcW w:type="dxa" w:w="3331"/>
            <w:vAlign w:val="center"/>
            <w:tcMar>
              <w:top w:w="100" w:type="dxa"/>
              <w:start w:w="120" w:type="dxa"/>
              <w:bottom w:w="100" w:type="dxa"/>
              <w:end w:w="120" w:type="dxa"/>
            </w:tcMar>
            <w:tcW w:w="3528" w:type="dxa"/>
          </w:tcPr>
          <w:p>
            <w:pPr>
              <w:spacing w:after="0"/>
            </w:pPr>
            <w:r>
              <w:rPr>
                <w:sz w:val="17"/>
              </w:rPr>
              <w:t>Approved release report</w:t>
            </w:r>
          </w:p>
        </w:tc>
      </w:tr>
      <w:tr>
        <w:tc>
          <w:tcPr>
            <w:tcW w:type="dxa" w:w="3331"/>
            <w:shd w:fill="F7F8FC"/>
            <w:vAlign w:val="center"/>
            <w:tcMar>
              <w:top w:w="100" w:type="dxa"/>
              <w:start w:w="120" w:type="dxa"/>
              <w:bottom w:w="100" w:type="dxa"/>
              <w:end w:w="120" w:type="dxa"/>
            </w:tcMar>
            <w:tcW w:w="1512" w:type="dxa"/>
          </w:tcPr>
          <w:p>
            <w:pPr>
              <w:spacing w:after="0"/>
            </w:pPr>
            <w:r>
              <w:rPr>
                <w:sz w:val="17"/>
              </w:rPr>
              <w:t>Deploy</w:t>
            </w:r>
          </w:p>
        </w:tc>
        <w:tc>
          <w:tcPr>
            <w:tcW w:type="dxa" w:w="3331"/>
            <w:shd w:fill="F7F8FC"/>
            <w:vAlign w:val="center"/>
            <w:tcMar>
              <w:top w:w="100" w:type="dxa"/>
              <w:start w:w="120" w:type="dxa"/>
              <w:bottom w:w="100" w:type="dxa"/>
              <w:end w:w="120" w:type="dxa"/>
            </w:tcMar>
            <w:tcW w:w="5472" w:type="dxa"/>
          </w:tcPr>
          <w:p>
            <w:pPr>
              <w:spacing w:after="0"/>
            </w:pPr>
            <w:r>
              <w:rPr>
                <w:sz w:val="17"/>
              </w:rPr>
              <w:t>Publish authenticated FastAPI service and frontend through controlled Azure environment</w:t>
            </w:r>
          </w:p>
        </w:tc>
        <w:tc>
          <w:tcPr>
            <w:tcW w:type="dxa" w:w="3331"/>
            <w:shd w:fill="F7F8FC"/>
            <w:vAlign w:val="center"/>
            <w:tcMar>
              <w:top w:w="100" w:type="dxa"/>
              <w:start w:w="120" w:type="dxa"/>
              <w:bottom w:w="100" w:type="dxa"/>
              <w:end w:w="120" w:type="dxa"/>
            </w:tcMar>
            <w:tcW w:w="3528" w:type="dxa"/>
          </w:tcPr>
          <w:p>
            <w:pPr>
              <w:spacing w:after="0"/>
            </w:pPr>
            <w:r>
              <w:rPr>
                <w:sz w:val="17"/>
              </w:rPr>
              <w:t>Managed identity, secrets, TLS, RBAC and health checks</w:t>
            </w:r>
          </w:p>
        </w:tc>
      </w:tr>
      <w:tr>
        <w:tc>
          <w:tcPr>
            <w:tcW w:type="dxa" w:w="3331"/>
            <w:vAlign w:val="center"/>
            <w:tcMar>
              <w:top w:w="100" w:type="dxa"/>
              <w:start w:w="120" w:type="dxa"/>
              <w:bottom w:w="100" w:type="dxa"/>
              <w:end w:w="120" w:type="dxa"/>
            </w:tcMar>
            <w:tcW w:w="1512" w:type="dxa"/>
          </w:tcPr>
          <w:p>
            <w:pPr>
              <w:spacing w:after="0"/>
            </w:pPr>
            <w:r>
              <w:rPr>
                <w:sz w:val="17"/>
              </w:rPr>
              <w:t>Monitor</w:t>
            </w:r>
          </w:p>
        </w:tc>
        <w:tc>
          <w:tcPr>
            <w:tcW w:type="dxa" w:w="3331"/>
            <w:vAlign w:val="center"/>
            <w:tcMar>
              <w:top w:w="100" w:type="dxa"/>
              <w:start w:w="120" w:type="dxa"/>
              <w:bottom w:w="100" w:type="dxa"/>
              <w:end w:w="120" w:type="dxa"/>
            </w:tcMar>
            <w:tcW w:w="5472" w:type="dxa"/>
          </w:tcPr>
          <w:p>
            <w:pPr>
              <w:spacing w:after="0"/>
            </w:pPr>
            <w:r>
              <w:rPr>
                <w:sz w:val="17"/>
              </w:rPr>
              <w:t>Observe aggregate reliability, latency, tool failures and safety indicators</w:t>
            </w:r>
          </w:p>
        </w:tc>
        <w:tc>
          <w:tcPr>
            <w:tcW w:type="dxa" w:w="3331"/>
            <w:vAlign w:val="center"/>
            <w:tcMar>
              <w:top w:w="100" w:type="dxa"/>
              <w:start w:w="120" w:type="dxa"/>
              <w:bottom w:w="100" w:type="dxa"/>
              <w:end w:w="120" w:type="dxa"/>
            </w:tcMar>
            <w:tcW w:w="3528" w:type="dxa"/>
          </w:tcPr>
          <w:p>
            <w:pPr>
              <w:spacing w:after="0"/>
            </w:pPr>
            <w:r>
              <w:rPr>
                <w:sz w:val="17"/>
              </w:rPr>
              <w:t>Dashboard, alert ownership and incident runbook</w:t>
            </w:r>
          </w:p>
        </w:tc>
      </w:tr>
      <w:tr>
        <w:tc>
          <w:tcPr>
            <w:tcW w:type="dxa" w:w="3331"/>
            <w:shd w:fill="F7F8FC"/>
            <w:vAlign w:val="center"/>
            <w:tcMar>
              <w:top w:w="100" w:type="dxa"/>
              <w:start w:w="120" w:type="dxa"/>
              <w:bottom w:w="100" w:type="dxa"/>
              <w:end w:w="120" w:type="dxa"/>
            </w:tcMar>
            <w:tcW w:w="1512" w:type="dxa"/>
          </w:tcPr>
          <w:p>
            <w:pPr>
              <w:spacing w:after="0"/>
            </w:pPr>
            <w:r>
              <w:rPr>
                <w:sz w:val="17"/>
              </w:rPr>
              <w:t>Improve</w:t>
            </w:r>
          </w:p>
        </w:tc>
        <w:tc>
          <w:tcPr>
            <w:tcW w:type="dxa" w:w="3331"/>
            <w:shd w:fill="F7F8FC"/>
            <w:vAlign w:val="center"/>
            <w:tcMar>
              <w:top w:w="100" w:type="dxa"/>
              <w:start w:w="120" w:type="dxa"/>
              <w:bottom w:w="100" w:type="dxa"/>
              <w:end w:w="120" w:type="dxa"/>
            </w:tcMar>
            <w:tcW w:w="5472" w:type="dxa"/>
          </w:tcPr>
          <w:p>
            <w:pPr>
              <w:spacing w:after="0"/>
            </w:pPr>
            <w:r>
              <w:rPr>
                <w:sz w:val="17"/>
              </w:rPr>
              <w:t>Convert authorized findings into tests and versioned changes</w:t>
            </w:r>
          </w:p>
        </w:tc>
        <w:tc>
          <w:tcPr>
            <w:tcW w:type="dxa" w:w="3331"/>
            <w:shd w:fill="F7F8FC"/>
            <w:vAlign w:val="center"/>
            <w:tcMar>
              <w:top w:w="100" w:type="dxa"/>
              <w:start w:w="120" w:type="dxa"/>
              <w:bottom w:w="100" w:type="dxa"/>
              <w:end w:w="120" w:type="dxa"/>
            </w:tcMar>
            <w:tcW w:w="3528" w:type="dxa"/>
          </w:tcPr>
          <w:p>
            <w:pPr>
              <w:spacing w:after="0"/>
            </w:pPr>
            <w:r>
              <w:rPr>
                <w:sz w:val="17"/>
              </w:rPr>
              <w:t>Agent comparison, approval and rollback path</w:t>
            </w:r>
          </w:p>
        </w:tc>
      </w:tr>
    </w:tbl>
    <w:p>
      <w:pPr>
        <w:spacing w:after="0"/>
      </w:pPr>
    </w:p>
    <w:p>
      <w:pPr>
        <w:pStyle w:val="Heading2"/>
        <w:keepNext/>
      </w:pPr>
      <w:r>
        <w:t>8.1 Current deployment position</w:t>
      </w:r>
    </w:p>
    <w:p>
      <w:r>
        <w:t>The Azure Foundry account, project, gpt-4.1-mini deployment, three agent roles, vector store, Application Insights component and Log Analytics workspace are provisioned in Sweden Central. The application itself remains loopback-only because production authentication and partner data agreements are not implemented. Judges can run the application locally and inspect the cloud resources with the signed-in Azure account.</w:t>
      </w:r>
    </w:p>
    <w:p>
      <w:pPr>
        <w:pStyle w:val="Heading1"/>
        <w:keepNext/>
      </w:pPr>
      <w:r>
        <w:t>9 Demonstration plan</w:t>
      </w:r>
    </w:p>
    <w:p>
      <w:pPr>
        <w:pStyle w:val="Heading2"/>
        <w:keepNext/>
      </w:pPr>
      <w:r>
        <w:t>9.1 Recommended six minute recording</w:t>
      </w:r>
    </w:p>
    <w:tbl>
      <w:tblPr>
        <w:tblW w:type="auto" w:w="0"/>
        <w:jc w:val="center"/>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3331"/>
        <w:gridCol w:w="3331"/>
        <w:gridCol w:w="3331"/>
      </w:tblGrid>
      <w:tr>
        <w:trPr>
          <w:tblHeader w:val="true"/>
        </w:trPr>
        <w:tc>
          <w:tcPr>
            <w:tcW w:type="dxa" w:w="3331"/>
            <w:shd w:fill="17233C"/>
            <w:vAlign w:val="center"/>
            <w:tcMar>
              <w:top w:w="100" w:type="dxa"/>
              <w:start w:w="120" w:type="dxa"/>
              <w:bottom w:w="100" w:type="dxa"/>
              <w:end w:w="120" w:type="dxa"/>
            </w:tcMar>
            <w:tcW w:w="1224" w:type="dxa"/>
          </w:tcPr>
          <w:p>
            <w:r>
              <w:rPr>
                <w:b/>
                <w:color w:val="FFFFFF"/>
                <w:sz w:val="18"/>
              </w:rPr>
              <w:t>Time</w:t>
            </w:r>
          </w:p>
        </w:tc>
        <w:tc>
          <w:tcPr>
            <w:tcW w:type="dxa" w:w="3331"/>
            <w:shd w:fill="17233C"/>
            <w:vAlign w:val="center"/>
            <w:tcMar>
              <w:top w:w="100" w:type="dxa"/>
              <w:start w:w="120" w:type="dxa"/>
              <w:bottom w:w="100" w:type="dxa"/>
              <w:end w:w="120" w:type="dxa"/>
            </w:tcMar>
            <w:tcW w:w="1944" w:type="dxa"/>
          </w:tcPr>
          <w:p>
            <w:r>
              <w:rPr>
                <w:b/>
                <w:color w:val="FFFFFF"/>
                <w:sz w:val="18"/>
              </w:rPr>
              <w:t>Screen</w:t>
            </w:r>
          </w:p>
        </w:tc>
        <w:tc>
          <w:tcPr>
            <w:tcW w:type="dxa" w:w="3331"/>
            <w:shd w:fill="17233C"/>
            <w:vAlign w:val="center"/>
            <w:tcMar>
              <w:top w:w="100" w:type="dxa"/>
              <w:start w:w="120" w:type="dxa"/>
              <w:bottom w:w="100" w:type="dxa"/>
              <w:end w:w="120" w:type="dxa"/>
            </w:tcMar>
            <w:tcW w:w="7343" w:type="dxa"/>
          </w:tcPr>
          <w:p>
            <w:r>
              <w:rPr>
                <w:b/>
                <w:color w:val="FFFFFF"/>
                <w:sz w:val="18"/>
              </w:rPr>
              <w:t>Narration and proof</w:t>
            </w:r>
          </w:p>
        </w:tc>
      </w:tr>
      <w:tr>
        <w:tc>
          <w:tcPr>
            <w:tcW w:type="dxa" w:w="3331"/>
            <w:vAlign w:val="center"/>
            <w:tcMar>
              <w:top w:w="100" w:type="dxa"/>
              <w:start w:w="120" w:type="dxa"/>
              <w:bottom w:w="100" w:type="dxa"/>
              <w:end w:w="120" w:type="dxa"/>
            </w:tcMar>
            <w:tcW w:w="1224" w:type="dxa"/>
          </w:tcPr>
          <w:p>
            <w:pPr>
              <w:spacing w:after="0"/>
            </w:pPr>
            <w:r>
              <w:rPr>
                <w:sz w:val="17"/>
              </w:rPr>
              <w:t>0:00–0:40</w:t>
            </w:r>
          </w:p>
        </w:tc>
        <w:tc>
          <w:tcPr>
            <w:tcW w:type="dxa" w:w="3331"/>
            <w:vAlign w:val="center"/>
            <w:tcMar>
              <w:top w:w="100" w:type="dxa"/>
              <w:start w:w="120" w:type="dxa"/>
              <w:bottom w:w="100" w:type="dxa"/>
              <w:end w:w="120" w:type="dxa"/>
            </w:tcMar>
            <w:tcW w:w="1944" w:type="dxa"/>
          </w:tcPr>
          <w:p>
            <w:pPr>
              <w:spacing w:after="0"/>
            </w:pPr>
            <w:r>
              <w:rPr>
                <w:sz w:val="17"/>
              </w:rPr>
              <w:t>Title and problem</w:t>
            </w:r>
          </w:p>
        </w:tc>
        <w:tc>
          <w:tcPr>
            <w:tcW w:type="dxa" w:w="3331"/>
            <w:vAlign w:val="center"/>
            <w:tcMar>
              <w:top w:w="100" w:type="dxa"/>
              <w:start w:w="120" w:type="dxa"/>
              <w:bottom w:w="100" w:type="dxa"/>
              <w:end w:w="120" w:type="dxa"/>
            </w:tcMar>
            <w:tcW w:w="7343" w:type="dxa"/>
          </w:tcPr>
          <w:p>
            <w:pPr>
              <w:spacing w:after="0"/>
            </w:pPr>
            <w:r>
              <w:rPr>
                <w:sz w:val="17"/>
              </w:rPr>
              <w:t>Explain the fragmented maternal referral problem and intended users.</w:t>
            </w:r>
          </w:p>
        </w:tc>
      </w:tr>
      <w:tr>
        <w:tc>
          <w:tcPr>
            <w:tcW w:type="dxa" w:w="3331"/>
            <w:shd w:fill="F7F8FC"/>
            <w:vAlign w:val="center"/>
            <w:tcMar>
              <w:top w:w="100" w:type="dxa"/>
              <w:start w:w="120" w:type="dxa"/>
              <w:bottom w:w="100" w:type="dxa"/>
              <w:end w:w="120" w:type="dxa"/>
            </w:tcMar>
            <w:tcW w:w="1224" w:type="dxa"/>
          </w:tcPr>
          <w:p>
            <w:pPr>
              <w:spacing w:after="0"/>
            </w:pPr>
            <w:r>
              <w:rPr>
                <w:sz w:val="17"/>
              </w:rPr>
              <w:t>0:40–1:30</w:t>
            </w:r>
          </w:p>
        </w:tc>
        <w:tc>
          <w:tcPr>
            <w:tcW w:type="dxa" w:w="3331"/>
            <w:shd w:fill="F7F8FC"/>
            <w:vAlign w:val="center"/>
            <w:tcMar>
              <w:top w:w="100" w:type="dxa"/>
              <w:start w:w="120" w:type="dxa"/>
              <w:bottom w:w="100" w:type="dxa"/>
              <w:end w:w="120" w:type="dxa"/>
            </w:tcMar>
            <w:tcW w:w="1944" w:type="dxa"/>
          </w:tcPr>
          <w:p>
            <w:pPr>
              <w:spacing w:after="0"/>
            </w:pPr>
            <w:r>
              <w:rPr>
                <w:sz w:val="17"/>
              </w:rPr>
              <w:t>Architecture</w:t>
            </w:r>
          </w:p>
        </w:tc>
        <w:tc>
          <w:tcPr>
            <w:tcW w:type="dxa" w:w="3331"/>
            <w:shd w:fill="F7F8FC"/>
            <w:vAlign w:val="center"/>
            <w:tcMar>
              <w:top w:w="100" w:type="dxa"/>
              <w:start w:w="120" w:type="dxa"/>
              <w:bottom w:w="100" w:type="dxa"/>
              <w:end w:w="120" w:type="dxa"/>
            </w:tcMar>
            <w:tcW w:w="7343" w:type="dxa"/>
          </w:tcPr>
          <w:p>
            <w:pPr>
              <w:spacing w:after="0"/>
            </w:pPr>
            <w:r>
              <w:rPr>
                <w:sz w:val="17"/>
              </w:rPr>
              <w:t>Show the three agent responsibilities, restricted tools, File Search and deterministic authority.</w:t>
            </w:r>
          </w:p>
        </w:tc>
      </w:tr>
      <w:tr>
        <w:tc>
          <w:tcPr>
            <w:tcW w:type="dxa" w:w="3331"/>
            <w:vAlign w:val="center"/>
            <w:tcMar>
              <w:top w:w="100" w:type="dxa"/>
              <w:start w:w="120" w:type="dxa"/>
              <w:bottom w:w="100" w:type="dxa"/>
              <w:end w:w="120" w:type="dxa"/>
            </w:tcMar>
            <w:tcW w:w="1224" w:type="dxa"/>
          </w:tcPr>
          <w:p>
            <w:pPr>
              <w:spacing w:after="0"/>
            </w:pPr>
            <w:r>
              <w:rPr>
                <w:sz w:val="17"/>
              </w:rPr>
              <w:t>1:30–2:40</w:t>
            </w:r>
          </w:p>
        </w:tc>
        <w:tc>
          <w:tcPr>
            <w:tcW w:type="dxa" w:w="3331"/>
            <w:vAlign w:val="center"/>
            <w:tcMar>
              <w:top w:w="100" w:type="dxa"/>
              <w:start w:w="120" w:type="dxa"/>
              <w:bottom w:w="100" w:type="dxa"/>
              <w:end w:w="120" w:type="dxa"/>
            </w:tcMar>
            <w:tcW w:w="1944" w:type="dxa"/>
          </w:tcPr>
          <w:p>
            <w:pPr>
              <w:spacing w:after="0"/>
            </w:pPr>
            <w:r>
              <w:rPr>
                <w:sz w:val="17"/>
              </w:rPr>
              <w:t>Local web app</w:t>
            </w:r>
          </w:p>
        </w:tc>
        <w:tc>
          <w:tcPr>
            <w:tcW w:type="dxa" w:w="3331"/>
            <w:vAlign w:val="center"/>
            <w:tcMar>
              <w:top w:w="100" w:type="dxa"/>
              <w:start w:w="120" w:type="dxa"/>
              <w:bottom w:w="100" w:type="dxa"/>
              <w:end w:w="120" w:type="dxa"/>
            </w:tcMar>
            <w:tcW w:w="7343" w:type="dxa"/>
          </w:tcPr>
          <w:p>
            <w:pPr>
              <w:spacing w:after="0"/>
            </w:pPr>
            <w:r>
              <w:rPr>
                <w:sz w:val="17"/>
              </w:rPr>
              <w:t>Open MAT-005, run assessment, show critical status, capable facilities and support matching.</w:t>
            </w:r>
          </w:p>
        </w:tc>
      </w:tr>
      <w:tr>
        <w:tc>
          <w:tcPr>
            <w:tcW w:type="dxa" w:w="3331"/>
            <w:shd w:fill="F7F8FC"/>
            <w:vAlign w:val="center"/>
            <w:tcMar>
              <w:top w:w="100" w:type="dxa"/>
              <w:start w:w="120" w:type="dxa"/>
              <w:bottom w:w="100" w:type="dxa"/>
              <w:end w:w="120" w:type="dxa"/>
            </w:tcMar>
            <w:tcW w:w="1224" w:type="dxa"/>
          </w:tcPr>
          <w:p>
            <w:pPr>
              <w:spacing w:after="0"/>
            </w:pPr>
            <w:r>
              <w:rPr>
                <w:sz w:val="17"/>
              </w:rPr>
              <w:t>2:40–3:20</w:t>
            </w:r>
          </w:p>
        </w:tc>
        <w:tc>
          <w:tcPr>
            <w:tcW w:type="dxa" w:w="3331"/>
            <w:shd w:fill="F7F8FC"/>
            <w:vAlign w:val="center"/>
            <w:tcMar>
              <w:top w:w="100" w:type="dxa"/>
              <w:start w:w="120" w:type="dxa"/>
              <w:bottom w:w="100" w:type="dxa"/>
              <w:end w:w="120" w:type="dxa"/>
            </w:tcMar>
            <w:tcW w:w="1944" w:type="dxa"/>
          </w:tcPr>
          <w:p>
            <w:pPr>
              <w:spacing w:after="0"/>
            </w:pPr>
            <w:r>
              <w:rPr>
                <w:sz w:val="17"/>
              </w:rPr>
              <w:t>Consent</w:t>
            </w:r>
          </w:p>
        </w:tc>
        <w:tc>
          <w:tcPr>
            <w:tcW w:type="dxa" w:w="3331"/>
            <w:shd w:fill="F7F8FC"/>
            <w:vAlign w:val="center"/>
            <w:tcMar>
              <w:top w:w="100" w:type="dxa"/>
              <w:start w:w="120" w:type="dxa"/>
              <w:bottom w:w="100" w:type="dxa"/>
              <w:end w:w="120" w:type="dxa"/>
            </w:tcMar>
            <w:tcW w:w="7343" w:type="dxa"/>
          </w:tcPr>
          <w:p>
            <w:pPr>
              <w:spacing w:after="0"/>
            </w:pPr>
            <w:r>
              <w:rPr>
                <w:sz w:val="17"/>
              </w:rPr>
              <w:t>Choose a facility and demonstrate simulated referral. State clearly that nothing is sent.</w:t>
            </w:r>
          </w:p>
        </w:tc>
      </w:tr>
      <w:tr>
        <w:tc>
          <w:tcPr>
            <w:tcW w:type="dxa" w:w="3331"/>
            <w:vAlign w:val="center"/>
            <w:tcMar>
              <w:top w:w="100" w:type="dxa"/>
              <w:start w:w="120" w:type="dxa"/>
              <w:bottom w:w="100" w:type="dxa"/>
              <w:end w:w="120" w:type="dxa"/>
            </w:tcMar>
            <w:tcW w:w="1224" w:type="dxa"/>
          </w:tcPr>
          <w:p>
            <w:pPr>
              <w:spacing w:after="0"/>
            </w:pPr>
            <w:r>
              <w:rPr>
                <w:sz w:val="17"/>
              </w:rPr>
              <w:t>3:20–4:20</w:t>
            </w:r>
          </w:p>
        </w:tc>
        <w:tc>
          <w:tcPr>
            <w:tcW w:type="dxa" w:w="3331"/>
            <w:vAlign w:val="center"/>
            <w:tcMar>
              <w:top w:w="100" w:type="dxa"/>
              <w:start w:w="120" w:type="dxa"/>
              <w:bottom w:w="100" w:type="dxa"/>
              <w:end w:w="120" w:type="dxa"/>
            </w:tcMar>
            <w:tcW w:w="1944" w:type="dxa"/>
          </w:tcPr>
          <w:p>
            <w:pPr>
              <w:spacing w:after="0"/>
            </w:pPr>
            <w:r>
              <w:rPr>
                <w:sz w:val="17"/>
              </w:rPr>
              <w:t>Foundry</w:t>
            </w:r>
          </w:p>
        </w:tc>
        <w:tc>
          <w:tcPr>
            <w:tcW w:type="dxa" w:w="3331"/>
            <w:vAlign w:val="center"/>
            <w:tcMar>
              <w:top w:w="100" w:type="dxa"/>
              <w:start w:w="120" w:type="dxa"/>
              <w:bottom w:w="100" w:type="dxa"/>
              <w:end w:w="120" w:type="dxa"/>
            </w:tcMar>
            <w:tcW w:w="7343" w:type="dxa"/>
          </w:tcPr>
          <w:p>
            <w:pPr>
              <w:spacing w:after="0"/>
            </w:pPr>
            <w:r>
              <w:rPr>
                <w:sz w:val="17"/>
              </w:rPr>
              <w:t>Show the three agent versions, tool use and grounded UNFPA retrieval with source URL.</w:t>
            </w:r>
          </w:p>
        </w:tc>
      </w:tr>
      <w:tr>
        <w:tc>
          <w:tcPr>
            <w:tcW w:type="dxa" w:w="3331"/>
            <w:shd w:fill="F7F8FC"/>
            <w:vAlign w:val="center"/>
            <w:tcMar>
              <w:top w:w="100" w:type="dxa"/>
              <w:start w:w="120" w:type="dxa"/>
              <w:bottom w:w="100" w:type="dxa"/>
              <w:end w:w="120" w:type="dxa"/>
            </w:tcMar>
            <w:tcW w:w="1224" w:type="dxa"/>
          </w:tcPr>
          <w:p>
            <w:pPr>
              <w:spacing w:after="0"/>
            </w:pPr>
            <w:r>
              <w:rPr>
                <w:sz w:val="17"/>
              </w:rPr>
              <w:t>4:20–5:10</w:t>
            </w:r>
          </w:p>
        </w:tc>
        <w:tc>
          <w:tcPr>
            <w:tcW w:type="dxa" w:w="3331"/>
            <w:shd w:fill="F7F8FC"/>
            <w:vAlign w:val="center"/>
            <w:tcMar>
              <w:top w:w="100" w:type="dxa"/>
              <w:start w:w="120" w:type="dxa"/>
              <w:bottom w:w="100" w:type="dxa"/>
              <w:end w:w="120" w:type="dxa"/>
            </w:tcMar>
            <w:tcW w:w="1944" w:type="dxa"/>
          </w:tcPr>
          <w:p>
            <w:pPr>
              <w:spacing w:after="0"/>
            </w:pPr>
            <w:r>
              <w:rPr>
                <w:sz w:val="17"/>
              </w:rPr>
              <w:t>Evaluation</w:t>
            </w:r>
          </w:p>
        </w:tc>
        <w:tc>
          <w:tcPr>
            <w:tcW w:type="dxa" w:w="3331"/>
            <w:shd w:fill="F7F8FC"/>
            <w:vAlign w:val="center"/>
            <w:tcMar>
              <w:top w:w="100" w:type="dxa"/>
              <w:start w:w="120" w:type="dxa"/>
              <w:bottom w:w="100" w:type="dxa"/>
              <w:end w:w="120" w:type="dxa"/>
            </w:tcMar>
            <w:tcW w:w="7343" w:type="dxa"/>
          </w:tcPr>
          <w:p>
            <w:pPr>
              <w:spacing w:after="0"/>
            </w:pPr>
            <w:r>
              <w:rPr>
                <w:sz w:val="17"/>
              </w:rPr>
              <w:t>Show 25 passing tests, 7/7 emergency detection and explain the five unassessed normal fixtures.</w:t>
            </w:r>
          </w:p>
        </w:tc>
      </w:tr>
      <w:tr>
        <w:tc>
          <w:tcPr>
            <w:tcW w:type="dxa" w:w="3331"/>
            <w:vAlign w:val="center"/>
            <w:tcMar>
              <w:top w:w="100" w:type="dxa"/>
              <w:start w:w="120" w:type="dxa"/>
              <w:bottom w:w="100" w:type="dxa"/>
              <w:end w:w="120" w:type="dxa"/>
            </w:tcMar>
            <w:tcW w:w="1224" w:type="dxa"/>
          </w:tcPr>
          <w:p>
            <w:pPr>
              <w:spacing w:after="0"/>
            </w:pPr>
            <w:r>
              <w:rPr>
                <w:sz w:val="17"/>
              </w:rPr>
              <w:t>5:10–5:40</w:t>
            </w:r>
          </w:p>
        </w:tc>
        <w:tc>
          <w:tcPr>
            <w:tcW w:type="dxa" w:w="3331"/>
            <w:vAlign w:val="center"/>
            <w:tcMar>
              <w:top w:w="100" w:type="dxa"/>
              <w:start w:w="120" w:type="dxa"/>
              <w:bottom w:w="100" w:type="dxa"/>
              <w:end w:w="120" w:type="dxa"/>
            </w:tcMar>
            <w:tcW w:w="1944" w:type="dxa"/>
          </w:tcPr>
          <w:p>
            <w:pPr>
              <w:spacing w:after="0"/>
            </w:pPr>
            <w:r>
              <w:rPr>
                <w:sz w:val="17"/>
              </w:rPr>
              <w:t>Monitoring</w:t>
            </w:r>
          </w:p>
        </w:tc>
        <w:tc>
          <w:tcPr>
            <w:tcW w:type="dxa" w:w="3331"/>
            <w:vAlign w:val="center"/>
            <w:tcMar>
              <w:top w:w="100" w:type="dxa"/>
              <w:start w:w="120" w:type="dxa"/>
              <w:bottom w:w="100" w:type="dxa"/>
              <w:end w:w="120" w:type="dxa"/>
            </w:tcMar>
            <w:tcW w:w="7343" w:type="dxa"/>
          </w:tcPr>
          <w:p>
            <w:pPr>
              <w:spacing w:after="0"/>
            </w:pPr>
            <w:r>
              <w:rPr>
                <w:sz w:val="17"/>
              </w:rPr>
              <w:t>Show Application Insights and the privacy-safe metrics design.</w:t>
            </w:r>
          </w:p>
        </w:tc>
      </w:tr>
      <w:tr>
        <w:tc>
          <w:tcPr>
            <w:tcW w:type="dxa" w:w="3331"/>
            <w:shd w:fill="F7F8FC"/>
            <w:vAlign w:val="center"/>
            <w:tcMar>
              <w:top w:w="100" w:type="dxa"/>
              <w:start w:w="120" w:type="dxa"/>
              <w:bottom w:w="100" w:type="dxa"/>
              <w:end w:w="120" w:type="dxa"/>
            </w:tcMar>
            <w:tcW w:w="1224" w:type="dxa"/>
          </w:tcPr>
          <w:p>
            <w:pPr>
              <w:spacing w:after="0"/>
            </w:pPr>
            <w:r>
              <w:rPr>
                <w:sz w:val="17"/>
              </w:rPr>
              <w:t>5:40–6:00</w:t>
            </w:r>
          </w:p>
        </w:tc>
        <w:tc>
          <w:tcPr>
            <w:tcW w:type="dxa" w:w="3331"/>
            <w:shd w:fill="F7F8FC"/>
            <w:vAlign w:val="center"/>
            <w:tcMar>
              <w:top w:w="100" w:type="dxa"/>
              <w:start w:w="120" w:type="dxa"/>
              <w:bottom w:w="100" w:type="dxa"/>
              <w:end w:w="120" w:type="dxa"/>
            </w:tcMar>
            <w:tcW w:w="1944" w:type="dxa"/>
          </w:tcPr>
          <w:p>
            <w:pPr>
              <w:spacing w:after="0"/>
            </w:pPr>
            <w:r>
              <w:rPr>
                <w:sz w:val="17"/>
              </w:rPr>
              <w:t>Reflection</w:t>
            </w:r>
          </w:p>
        </w:tc>
        <w:tc>
          <w:tcPr>
            <w:tcW w:type="dxa" w:w="3331"/>
            <w:shd w:fill="F7F8FC"/>
            <w:vAlign w:val="center"/>
            <w:tcMar>
              <w:top w:w="100" w:type="dxa"/>
              <w:start w:w="120" w:type="dxa"/>
              <w:bottom w:w="100" w:type="dxa"/>
              <w:end w:w="120" w:type="dxa"/>
            </w:tcMar>
            <w:tcW w:w="7343" w:type="dxa"/>
          </w:tcPr>
          <w:p>
            <w:pPr>
              <w:spacing w:after="0"/>
            </w:pPr>
            <w:r>
              <w:rPr>
                <w:sz w:val="17"/>
              </w:rPr>
              <w:t>Explain how specialization, tools, evaluation and monitoring moved the idea toward production readiness.</w:t>
            </w:r>
          </w:p>
        </w:tc>
      </w:tr>
    </w:tbl>
    <w:p>
      <w:pPr>
        <w:spacing w:after="0"/>
      </w:pPr>
    </w:p>
    <w:p>
      <w:pPr>
        <w:pStyle w:val="Heading2"/>
        <w:keepNext/>
      </w:pPr>
      <w:r>
        <w:t>9.2 Suggested demonstration scenario</w:t>
      </w:r>
    </w:p>
    <w:p>
      <w:r>
        <w:t>Use synthetic case MAT-005, based on the PRD's prolonged-labour scenario. The expected demonstration path is critical classification, emergency-obstetric capability matching, support matching, explicit facility consent and a simulated referral state. In Foundry, run the two-agent demo and the knowledge demo separately. This accurately reflects the current implementation: the local web workflow is complete, while the cloud knowledge agent has not yet been inserted into the web request path.</w:t>
      </w:r>
    </w:p>
    <w:p>
      <w:pPr>
        <w:pStyle w:val="Heading2"/>
        <w:keepNext/>
      </w:pPr>
      <w:r>
        <w:t>9.3 Recording checklist</w:t>
      </w:r>
    </w:p>
    <w:p>
      <w:pPr>
        <w:pStyle w:val="ListBullet"/>
      </w:pPr>
      <w:r>
        <w:t>Use fictional information only and close terminals containing secrets.</w:t>
      </w:r>
    </w:p>
    <w:p>
      <w:pPr>
        <w:pStyle w:val="ListBullet"/>
      </w:pPr>
      <w:r>
        <w:t>Start the local server and verify /api/health before recording.</w:t>
      </w:r>
    </w:p>
    <w:p>
      <w:pPr>
        <w:pStyle w:val="ListBullet"/>
      </w:pPr>
      <w:r>
        <w:t>Keep the Foundry project, agent list, vector store, Application Insights and evaluation output ready in separate tabs.</w:t>
      </w:r>
    </w:p>
    <w:p>
      <w:pPr>
        <w:pStyle w:val="ListBullet"/>
      </w:pPr>
      <w:r>
        <w:t>Show tool calls or structured outputs, not only the final user interface.</w:t>
      </w:r>
    </w:p>
    <w:p>
      <w:pPr>
        <w:pStyle w:val="ListBullet"/>
      </w:pPr>
      <w:r>
        <w:t>State the prototype limits and pending clinical review without minimizing them.</w:t>
      </w:r>
    </w:p>
    <w:p>
      <w:pPr>
        <w:pStyle w:val="ListBullet"/>
      </w:pPr>
      <w:r>
        <w:t>End with the production plan and the specific evidence required for release.</w:t>
      </w:r>
    </w:p>
    <w:p>
      <w:pPr>
        <w:pStyle w:val="Heading1"/>
        <w:keepNext/>
      </w:pPr>
      <w:r>
        <w:t>10 Current evidence and remaining work</w:t>
      </w:r>
    </w:p>
    <w:tbl>
      <w:tblPr>
        <w:tblW w:type="auto" w:w="0"/>
        <w:jc w:val="center"/>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3331"/>
        <w:gridCol w:w="3331"/>
        <w:gridCol w:w="3331"/>
      </w:tblGrid>
      <w:tr>
        <w:trPr>
          <w:tblHeader w:val="true"/>
        </w:trPr>
        <w:tc>
          <w:tcPr>
            <w:tcW w:type="dxa" w:w="3331"/>
            <w:shd w:fill="17233C"/>
            <w:vAlign w:val="center"/>
            <w:tcMar>
              <w:top w:w="100" w:type="dxa"/>
              <w:start w:w="120" w:type="dxa"/>
              <w:bottom w:w="100" w:type="dxa"/>
              <w:end w:w="120" w:type="dxa"/>
            </w:tcMar>
            <w:tcW w:w="2880" w:type="dxa"/>
          </w:tcPr>
          <w:p>
            <w:r>
              <w:rPr>
                <w:b/>
                <w:color w:val="FFFFFF"/>
                <w:sz w:val="18"/>
              </w:rPr>
              <w:t>Hackathon requirement</w:t>
            </w:r>
          </w:p>
        </w:tc>
        <w:tc>
          <w:tcPr>
            <w:tcW w:type="dxa" w:w="3331"/>
            <w:shd w:fill="17233C"/>
            <w:vAlign w:val="center"/>
            <w:tcMar>
              <w:top w:w="100" w:type="dxa"/>
              <w:start w:w="120" w:type="dxa"/>
              <w:bottom w:w="100" w:type="dxa"/>
              <w:end w:w="120" w:type="dxa"/>
            </w:tcMar>
            <w:tcW w:w="2088" w:type="dxa"/>
          </w:tcPr>
          <w:p>
            <w:r>
              <w:rPr>
                <w:b/>
                <w:color w:val="FFFFFF"/>
                <w:sz w:val="18"/>
              </w:rPr>
              <w:t>Status</w:t>
            </w:r>
          </w:p>
        </w:tc>
        <w:tc>
          <w:tcPr>
            <w:tcW w:type="dxa" w:w="3331"/>
            <w:shd w:fill="17233C"/>
            <w:vAlign w:val="center"/>
            <w:tcMar>
              <w:top w:w="100" w:type="dxa"/>
              <w:start w:w="120" w:type="dxa"/>
              <w:bottom w:w="100" w:type="dxa"/>
              <w:end w:w="120" w:type="dxa"/>
            </w:tcMar>
            <w:tcW w:w="5544" w:type="dxa"/>
          </w:tcPr>
          <w:p>
            <w:r>
              <w:rPr>
                <w:b/>
                <w:color w:val="FFFFFF"/>
                <w:sz w:val="18"/>
              </w:rPr>
              <w:t>Evidence or next step</w:t>
            </w:r>
          </w:p>
        </w:tc>
      </w:tr>
      <w:tr>
        <w:tc>
          <w:tcPr>
            <w:tcW w:type="dxa" w:w="3331"/>
            <w:vAlign w:val="center"/>
            <w:tcMar>
              <w:top w:w="100" w:type="dxa"/>
              <w:start w:w="120" w:type="dxa"/>
              <w:bottom w:w="100" w:type="dxa"/>
              <w:end w:w="120" w:type="dxa"/>
            </w:tcMar>
            <w:tcW w:w="2880" w:type="dxa"/>
          </w:tcPr>
          <w:p>
            <w:pPr>
              <w:spacing w:after="0"/>
            </w:pPr>
            <w:r>
              <w:rPr>
                <w:sz w:val="17"/>
              </w:rPr>
              <w:t>Business problem and users</w:t>
            </w:r>
          </w:p>
        </w:tc>
        <w:tc>
          <w:tcPr>
            <w:tcW w:type="dxa" w:w="3331"/>
            <w:vAlign w:val="center"/>
            <w:tcMar>
              <w:top w:w="100" w:type="dxa"/>
              <w:start w:w="120" w:type="dxa"/>
              <w:bottom w:w="100" w:type="dxa"/>
              <w:end w:w="120" w:type="dxa"/>
            </w:tcMar>
            <w:tcW w:w="2088" w:type="dxa"/>
          </w:tcPr>
          <w:p>
            <w:pPr>
              <w:spacing w:after="0"/>
            </w:pPr>
            <w:r>
              <w:rPr>
                <w:sz w:val="17"/>
              </w:rPr>
              <w:t>Complete</w:t>
            </w:r>
          </w:p>
        </w:tc>
        <w:tc>
          <w:tcPr>
            <w:tcW w:type="dxa" w:w="3331"/>
            <w:vAlign w:val="center"/>
            <w:tcMar>
              <w:top w:w="100" w:type="dxa"/>
              <w:start w:w="120" w:type="dxa"/>
              <w:bottom w:w="100" w:type="dxa"/>
              <w:end w:w="120" w:type="dxa"/>
            </w:tcMar>
            <w:tcW w:w="5544" w:type="dxa"/>
          </w:tcPr>
          <w:p>
            <w:pPr>
              <w:spacing w:after="0"/>
            </w:pPr>
            <w:r>
              <w:rPr>
                <w:sz w:val="17"/>
              </w:rPr>
              <w:t>Defined in this report and PRD</w:t>
            </w:r>
          </w:p>
        </w:tc>
      </w:tr>
      <w:tr>
        <w:tc>
          <w:tcPr>
            <w:tcW w:type="dxa" w:w="3331"/>
            <w:shd w:fill="F7F8FC"/>
            <w:vAlign w:val="center"/>
            <w:tcMar>
              <w:top w:w="100" w:type="dxa"/>
              <w:start w:w="120" w:type="dxa"/>
              <w:bottom w:w="100" w:type="dxa"/>
              <w:end w:w="120" w:type="dxa"/>
            </w:tcMar>
            <w:tcW w:w="2880" w:type="dxa"/>
          </w:tcPr>
          <w:p>
            <w:pPr>
              <w:spacing w:after="0"/>
            </w:pPr>
            <w:r>
              <w:rPr>
                <w:sz w:val="17"/>
              </w:rPr>
              <w:t>At least two specialized agents</w:t>
            </w:r>
          </w:p>
        </w:tc>
        <w:tc>
          <w:tcPr>
            <w:tcW w:type="dxa" w:w="3331"/>
            <w:shd w:fill="F7F8FC"/>
            <w:vAlign w:val="center"/>
            <w:tcMar>
              <w:top w:w="100" w:type="dxa"/>
              <w:start w:w="120" w:type="dxa"/>
              <w:bottom w:w="100" w:type="dxa"/>
              <w:end w:w="120" w:type="dxa"/>
            </w:tcMar>
            <w:tcW w:w="2088" w:type="dxa"/>
          </w:tcPr>
          <w:p>
            <w:pPr>
              <w:spacing w:after="0"/>
            </w:pPr>
            <w:r>
              <w:rPr>
                <w:sz w:val="17"/>
              </w:rPr>
              <w:t>Complete</w:t>
            </w:r>
          </w:p>
        </w:tc>
        <w:tc>
          <w:tcPr>
            <w:tcW w:type="dxa" w:w="3331"/>
            <w:shd w:fill="F7F8FC"/>
            <w:vAlign w:val="center"/>
            <w:tcMar>
              <w:top w:w="100" w:type="dxa"/>
              <w:start w:w="120" w:type="dxa"/>
              <w:bottom w:w="100" w:type="dxa"/>
              <w:end w:w="120" w:type="dxa"/>
            </w:tcMar>
            <w:tcW w:w="5544" w:type="dxa"/>
          </w:tcPr>
          <w:p>
            <w:pPr>
              <w:spacing w:after="0"/>
            </w:pPr>
            <w:r>
              <w:rPr>
                <w:sz w:val="17"/>
              </w:rPr>
              <w:t>Three deployed Foundry agent roles</w:t>
            </w:r>
          </w:p>
        </w:tc>
      </w:tr>
      <w:tr>
        <w:tc>
          <w:tcPr>
            <w:tcW w:type="dxa" w:w="3331"/>
            <w:vAlign w:val="center"/>
            <w:tcMar>
              <w:top w:w="100" w:type="dxa"/>
              <w:start w:w="120" w:type="dxa"/>
              <w:bottom w:w="100" w:type="dxa"/>
              <w:end w:w="120" w:type="dxa"/>
            </w:tcMar>
            <w:tcW w:w="2880" w:type="dxa"/>
          </w:tcPr>
          <w:p>
            <w:pPr>
              <w:spacing w:after="0"/>
            </w:pPr>
            <w:r>
              <w:rPr>
                <w:sz w:val="17"/>
              </w:rPr>
              <w:t>Tools and knowledge</w:t>
            </w:r>
          </w:p>
        </w:tc>
        <w:tc>
          <w:tcPr>
            <w:tcW w:type="dxa" w:w="3331"/>
            <w:vAlign w:val="center"/>
            <w:tcMar>
              <w:top w:w="100" w:type="dxa"/>
              <w:start w:w="120" w:type="dxa"/>
              <w:bottom w:w="100" w:type="dxa"/>
              <w:end w:w="120" w:type="dxa"/>
            </w:tcMar>
            <w:tcW w:w="2088" w:type="dxa"/>
          </w:tcPr>
          <w:p>
            <w:pPr>
              <w:spacing w:after="0"/>
            </w:pPr>
            <w:r>
              <w:rPr>
                <w:sz w:val="17"/>
              </w:rPr>
              <w:t>Complete for prototype</w:t>
            </w:r>
          </w:p>
        </w:tc>
        <w:tc>
          <w:tcPr>
            <w:tcW w:type="dxa" w:w="3331"/>
            <w:vAlign w:val="center"/>
            <w:tcMar>
              <w:top w:w="100" w:type="dxa"/>
              <w:start w:w="120" w:type="dxa"/>
              <w:bottom w:w="100" w:type="dxa"/>
              <w:end w:w="120" w:type="dxa"/>
            </w:tcMar>
            <w:tcW w:w="5544" w:type="dxa"/>
          </w:tcPr>
          <w:p>
            <w:pPr>
              <w:spacing w:after="0"/>
            </w:pPr>
            <w:r>
              <w:rPr>
                <w:sz w:val="17"/>
              </w:rPr>
              <w:t>Two strict functions and File Search vector store</w:t>
            </w:r>
          </w:p>
        </w:tc>
      </w:tr>
      <w:tr>
        <w:tc>
          <w:tcPr>
            <w:tcW w:type="dxa" w:w="3331"/>
            <w:shd w:fill="F7F8FC"/>
            <w:vAlign w:val="center"/>
            <w:tcMar>
              <w:top w:w="100" w:type="dxa"/>
              <w:start w:w="120" w:type="dxa"/>
              <w:bottom w:w="100" w:type="dxa"/>
              <w:end w:w="120" w:type="dxa"/>
            </w:tcMar>
            <w:tcW w:w="2880" w:type="dxa"/>
          </w:tcPr>
          <w:p>
            <w:pPr>
              <w:spacing w:after="0"/>
            </w:pPr>
            <w:r>
              <w:rPr>
                <w:sz w:val="17"/>
              </w:rPr>
              <w:t>Information flow</w:t>
            </w:r>
          </w:p>
        </w:tc>
        <w:tc>
          <w:tcPr>
            <w:tcW w:type="dxa" w:w="3331"/>
            <w:shd w:fill="F7F8FC"/>
            <w:vAlign w:val="center"/>
            <w:tcMar>
              <w:top w:w="100" w:type="dxa"/>
              <w:start w:w="120" w:type="dxa"/>
              <w:bottom w:w="100" w:type="dxa"/>
              <w:end w:w="120" w:type="dxa"/>
            </w:tcMar>
            <w:tcW w:w="2088" w:type="dxa"/>
          </w:tcPr>
          <w:p>
            <w:pPr>
              <w:spacing w:after="0"/>
            </w:pPr>
            <w:r>
              <w:rPr>
                <w:sz w:val="17"/>
              </w:rPr>
              <w:t>Complete</w:t>
            </w:r>
          </w:p>
        </w:tc>
        <w:tc>
          <w:tcPr>
            <w:tcW w:type="dxa" w:w="3331"/>
            <w:shd w:fill="F7F8FC"/>
            <w:vAlign w:val="center"/>
            <w:tcMar>
              <w:top w:w="100" w:type="dxa"/>
              <w:start w:w="120" w:type="dxa"/>
              <w:bottom w:w="100" w:type="dxa"/>
              <w:end w:w="120" w:type="dxa"/>
            </w:tcMar>
            <w:tcW w:w="5544" w:type="dxa"/>
          </w:tcPr>
          <w:p>
            <w:pPr>
              <w:spacing w:after="0"/>
            </w:pPr>
            <w:r>
              <w:rPr>
                <w:sz w:val="17"/>
              </w:rPr>
              <w:t>Implemented local workflow and bounded Foundry demonstrations</w:t>
            </w:r>
          </w:p>
        </w:tc>
      </w:tr>
      <w:tr>
        <w:tc>
          <w:tcPr>
            <w:tcW w:type="dxa" w:w="3331"/>
            <w:vAlign w:val="center"/>
            <w:tcMar>
              <w:top w:w="100" w:type="dxa"/>
              <w:start w:w="120" w:type="dxa"/>
              <w:bottom w:w="100" w:type="dxa"/>
              <w:end w:w="120" w:type="dxa"/>
            </w:tcMar>
            <w:tcW w:w="2880" w:type="dxa"/>
          </w:tcPr>
          <w:p>
            <w:pPr>
              <w:spacing w:after="0"/>
            </w:pPr>
            <w:r>
              <w:rPr>
                <w:sz w:val="17"/>
              </w:rPr>
              <w:t>Observability</w:t>
            </w:r>
          </w:p>
        </w:tc>
        <w:tc>
          <w:tcPr>
            <w:tcW w:type="dxa" w:w="3331"/>
            <w:vAlign w:val="center"/>
            <w:tcMar>
              <w:top w:w="100" w:type="dxa"/>
              <w:start w:w="120" w:type="dxa"/>
              <w:bottom w:w="100" w:type="dxa"/>
              <w:end w:w="120" w:type="dxa"/>
            </w:tcMar>
            <w:tcW w:w="2088" w:type="dxa"/>
          </w:tcPr>
          <w:p>
            <w:pPr>
              <w:spacing w:after="0"/>
            </w:pPr>
            <w:r>
              <w:rPr>
                <w:sz w:val="17"/>
              </w:rPr>
              <w:t>Complete for prototype</w:t>
            </w:r>
          </w:p>
        </w:tc>
        <w:tc>
          <w:tcPr>
            <w:tcW w:type="dxa" w:w="3331"/>
            <w:vAlign w:val="center"/>
            <w:tcMar>
              <w:top w:w="100" w:type="dxa"/>
              <w:start w:w="120" w:type="dxa"/>
              <w:bottom w:w="100" w:type="dxa"/>
              <w:end w:w="120" w:type="dxa"/>
            </w:tcMar>
            <w:tcW w:w="5544" w:type="dxa"/>
          </w:tcPr>
          <w:p>
            <w:pPr>
              <w:spacing w:after="0"/>
            </w:pPr>
            <w:r>
              <w:rPr>
                <w:sz w:val="17"/>
              </w:rPr>
              <w:t>Application Insights and privacy-safe custom metrics</w:t>
            </w:r>
          </w:p>
        </w:tc>
      </w:tr>
      <w:tr>
        <w:tc>
          <w:tcPr>
            <w:tcW w:type="dxa" w:w="3331"/>
            <w:shd w:fill="F7F8FC"/>
            <w:vAlign w:val="center"/>
            <w:tcMar>
              <w:top w:w="100" w:type="dxa"/>
              <w:start w:w="120" w:type="dxa"/>
              <w:bottom w:w="100" w:type="dxa"/>
              <w:end w:w="120" w:type="dxa"/>
            </w:tcMar>
            <w:tcW w:w="2880" w:type="dxa"/>
          </w:tcPr>
          <w:p>
            <w:pPr>
              <w:spacing w:after="0"/>
            </w:pPr>
            <w:r>
              <w:rPr>
                <w:sz w:val="17"/>
              </w:rPr>
              <w:t>Evaluation strategy</w:t>
            </w:r>
          </w:p>
        </w:tc>
        <w:tc>
          <w:tcPr>
            <w:tcW w:type="dxa" w:w="3331"/>
            <w:shd w:fill="F7F8FC"/>
            <w:vAlign w:val="center"/>
            <w:tcMar>
              <w:top w:w="100" w:type="dxa"/>
              <w:start w:w="120" w:type="dxa"/>
              <w:bottom w:w="100" w:type="dxa"/>
              <w:end w:w="120" w:type="dxa"/>
            </w:tcMar>
            <w:tcW w:w="2088" w:type="dxa"/>
          </w:tcPr>
          <w:p>
            <w:pPr>
              <w:spacing w:after="0"/>
            </w:pPr>
            <w:r>
              <w:rPr>
                <w:sz w:val="17"/>
              </w:rPr>
              <w:t>Complete; cloud suite pending</w:t>
            </w:r>
          </w:p>
        </w:tc>
        <w:tc>
          <w:tcPr>
            <w:tcW w:type="dxa" w:w="3331"/>
            <w:shd w:fill="F7F8FC"/>
            <w:vAlign w:val="center"/>
            <w:tcMar>
              <w:top w:w="100" w:type="dxa"/>
              <w:start w:w="120" w:type="dxa"/>
              <w:bottom w:w="100" w:type="dxa"/>
              <w:end w:w="120" w:type="dxa"/>
            </w:tcMar>
            <w:tcW w:w="5544" w:type="dxa"/>
          </w:tcPr>
          <w:p>
            <w:pPr>
              <w:spacing w:after="0"/>
            </w:pPr>
            <w:r>
              <w:rPr>
                <w:sz w:val="17"/>
              </w:rPr>
              <w:t>Tests and fixture metrics exist; add held-out Foundry evaluation</w:t>
            </w:r>
          </w:p>
        </w:tc>
      </w:tr>
      <w:tr>
        <w:tc>
          <w:tcPr>
            <w:tcW w:type="dxa" w:w="3331"/>
            <w:vAlign w:val="center"/>
            <w:tcMar>
              <w:top w:w="100" w:type="dxa"/>
              <w:start w:w="120" w:type="dxa"/>
              <w:bottom w:w="100" w:type="dxa"/>
              <w:end w:w="120" w:type="dxa"/>
            </w:tcMar>
            <w:tcW w:w="2880" w:type="dxa"/>
          </w:tcPr>
          <w:p>
            <w:pPr>
              <w:spacing w:after="0"/>
            </w:pPr>
            <w:r>
              <w:rPr>
                <w:sz w:val="17"/>
              </w:rPr>
              <w:t>Governance and reliability</w:t>
            </w:r>
          </w:p>
        </w:tc>
        <w:tc>
          <w:tcPr>
            <w:tcW w:type="dxa" w:w="3331"/>
            <w:vAlign w:val="center"/>
            <w:tcMar>
              <w:top w:w="100" w:type="dxa"/>
              <w:start w:w="120" w:type="dxa"/>
              <w:bottom w:w="100" w:type="dxa"/>
              <w:end w:w="120" w:type="dxa"/>
            </w:tcMar>
            <w:tcW w:w="2088" w:type="dxa"/>
          </w:tcPr>
          <w:p>
            <w:pPr>
              <w:spacing w:after="0"/>
            </w:pPr>
            <w:r>
              <w:rPr>
                <w:sz w:val="17"/>
              </w:rPr>
              <w:t>Plan complete</w:t>
            </w:r>
          </w:p>
        </w:tc>
        <w:tc>
          <w:tcPr>
            <w:tcW w:type="dxa" w:w="3331"/>
            <w:vAlign w:val="center"/>
            <w:tcMar>
              <w:top w:w="100" w:type="dxa"/>
              <w:start w:w="120" w:type="dxa"/>
              <w:bottom w:w="100" w:type="dxa"/>
              <w:end w:w="120" w:type="dxa"/>
            </w:tcMar>
            <w:tcW w:w="5544" w:type="dxa"/>
          </w:tcPr>
          <w:p>
            <w:pPr>
              <w:spacing w:after="0"/>
            </w:pPr>
            <w:r>
              <w:rPr>
                <w:sz w:val="17"/>
              </w:rPr>
              <w:t>Controls implemented; clinical approval and production governance pending</w:t>
            </w:r>
          </w:p>
        </w:tc>
      </w:tr>
      <w:tr>
        <w:tc>
          <w:tcPr>
            <w:tcW w:type="dxa" w:w="3331"/>
            <w:shd w:fill="F7F8FC"/>
            <w:vAlign w:val="center"/>
            <w:tcMar>
              <w:top w:w="100" w:type="dxa"/>
              <w:start w:w="120" w:type="dxa"/>
              <w:bottom w:w="100" w:type="dxa"/>
              <w:end w:w="120" w:type="dxa"/>
            </w:tcMar>
            <w:tcW w:w="2880" w:type="dxa"/>
          </w:tcPr>
          <w:p>
            <w:pPr>
              <w:spacing w:after="0"/>
            </w:pPr>
            <w:r>
              <w:rPr>
                <w:sz w:val="17"/>
              </w:rPr>
              <w:t>Deployable workflow</w:t>
            </w:r>
          </w:p>
        </w:tc>
        <w:tc>
          <w:tcPr>
            <w:tcW w:type="dxa" w:w="3331"/>
            <w:shd w:fill="F7F8FC"/>
            <w:vAlign w:val="center"/>
            <w:tcMar>
              <w:top w:w="100" w:type="dxa"/>
              <w:start w:w="120" w:type="dxa"/>
              <w:bottom w:w="100" w:type="dxa"/>
              <w:end w:w="120" w:type="dxa"/>
            </w:tcMar>
            <w:tcW w:w="2088" w:type="dxa"/>
          </w:tcPr>
          <w:p>
            <w:pPr>
              <w:spacing w:after="0"/>
            </w:pPr>
            <w:r>
              <w:rPr>
                <w:sz w:val="17"/>
              </w:rPr>
              <w:t>Partial</w:t>
            </w:r>
          </w:p>
        </w:tc>
        <w:tc>
          <w:tcPr>
            <w:tcW w:type="dxa" w:w="3331"/>
            <w:shd w:fill="F7F8FC"/>
            <w:vAlign w:val="center"/>
            <w:tcMar>
              <w:top w:w="100" w:type="dxa"/>
              <w:start w:w="120" w:type="dxa"/>
              <w:bottom w:w="100" w:type="dxa"/>
              <w:end w:w="120" w:type="dxa"/>
            </w:tcMar>
            <w:tcW w:w="5544" w:type="dxa"/>
          </w:tcPr>
          <w:p>
            <w:pPr>
              <w:spacing w:after="0"/>
            </w:pPr>
            <w:r>
              <w:rPr>
                <w:sz w:val="17"/>
              </w:rPr>
              <w:t>Local app and Azure agents available; authenticated public hosting pending</w:t>
            </w:r>
          </w:p>
        </w:tc>
      </w:tr>
      <w:tr>
        <w:tc>
          <w:tcPr>
            <w:tcW w:type="dxa" w:w="3331"/>
            <w:vAlign w:val="center"/>
            <w:tcMar>
              <w:top w:w="100" w:type="dxa"/>
              <w:start w:w="120" w:type="dxa"/>
              <w:bottom w:w="100" w:type="dxa"/>
              <w:end w:w="120" w:type="dxa"/>
            </w:tcMar>
            <w:tcW w:w="2880" w:type="dxa"/>
          </w:tcPr>
          <w:p>
            <w:pPr>
              <w:spacing w:after="0"/>
            </w:pPr>
            <w:r>
              <w:rPr>
                <w:sz w:val="17"/>
              </w:rPr>
              <w:t>Recorded presentation</w:t>
            </w:r>
          </w:p>
        </w:tc>
        <w:tc>
          <w:tcPr>
            <w:tcW w:type="dxa" w:w="3331"/>
            <w:vAlign w:val="center"/>
            <w:tcMar>
              <w:top w:w="100" w:type="dxa"/>
              <w:start w:w="120" w:type="dxa"/>
              <w:bottom w:w="100" w:type="dxa"/>
              <w:end w:w="120" w:type="dxa"/>
            </w:tcMar>
            <w:tcW w:w="2088" w:type="dxa"/>
          </w:tcPr>
          <w:p>
            <w:pPr>
              <w:spacing w:after="0"/>
            </w:pPr>
            <w:r>
              <w:rPr>
                <w:sz w:val="17"/>
              </w:rPr>
              <w:t>Ready to record</w:t>
            </w:r>
          </w:p>
        </w:tc>
        <w:tc>
          <w:tcPr>
            <w:tcW w:type="dxa" w:w="3331"/>
            <w:vAlign w:val="center"/>
            <w:tcMar>
              <w:top w:w="100" w:type="dxa"/>
              <w:start w:w="120" w:type="dxa"/>
              <w:bottom w:w="100" w:type="dxa"/>
              <w:end w:w="120" w:type="dxa"/>
            </w:tcMar>
            <w:tcW w:w="5544" w:type="dxa"/>
          </w:tcPr>
          <w:p>
            <w:pPr>
              <w:spacing w:after="0"/>
            </w:pPr>
            <w:r>
              <w:rPr>
                <w:sz w:val="17"/>
              </w:rPr>
              <w:t>Six-minute script and checklist included</w:t>
            </w:r>
          </w:p>
        </w:tc>
      </w:tr>
    </w:tbl>
    <w:p>
      <w:pPr>
        <w:spacing w:after="0"/>
      </w:pPr>
    </w:p>
    <w:p>
      <w:r>
        <w:t>The submission demonstrates the required design and production-readiness thinking with working prototype evidence. It should not claim production or clinical readiness. The most valuable next engineering milestone is a held-out Foundry evaluation suite covering tool adherence, grounding, unsafe advice, injection attempts and missing-resource behavior, followed by authenticated staging deployment.</w:t>
      </w:r>
    </w:p>
    <w:p>
      <w:pPr>
        <w:pStyle w:val="Heading1"/>
        <w:keepNext/>
      </w:pPr>
      <w:r>
        <w:t>Appendix A Azure resources</w:t>
      </w:r>
    </w:p>
    <w:tbl>
      <w:tblPr>
        <w:tblW w:type="auto" w:w="0"/>
        <w:jc w:val="center"/>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4997"/>
        <w:gridCol w:w="4997"/>
      </w:tblGrid>
      <w:tr>
        <w:trPr>
          <w:tblHeader w:val="true"/>
        </w:trPr>
        <w:tc>
          <w:tcPr>
            <w:tcW w:type="dxa" w:w="4997"/>
            <w:shd w:fill="17233C"/>
            <w:vAlign w:val="center"/>
            <w:tcMar>
              <w:top w:w="100" w:type="dxa"/>
              <w:start w:w="120" w:type="dxa"/>
              <w:bottom w:w="100" w:type="dxa"/>
              <w:end w:w="120" w:type="dxa"/>
            </w:tcMar>
            <w:tcW w:w="2880" w:type="dxa"/>
          </w:tcPr>
          <w:p>
            <w:r>
              <w:rPr>
                <w:b/>
                <w:color w:val="FFFFFF"/>
                <w:sz w:val="18"/>
              </w:rPr>
              <w:t>Resource</w:t>
            </w:r>
          </w:p>
        </w:tc>
        <w:tc>
          <w:tcPr>
            <w:tcW w:type="dxa" w:w="4997"/>
            <w:shd w:fill="17233C"/>
            <w:vAlign w:val="center"/>
            <w:tcMar>
              <w:top w:w="100" w:type="dxa"/>
              <w:start w:w="120" w:type="dxa"/>
              <w:bottom w:w="100" w:type="dxa"/>
              <w:end w:w="120" w:type="dxa"/>
            </w:tcMar>
            <w:tcW w:w="7632" w:type="dxa"/>
          </w:tcPr>
          <w:p>
            <w:r>
              <w:rPr>
                <w:b/>
                <w:color w:val="FFFFFF"/>
                <w:sz w:val="18"/>
              </w:rPr>
              <w:t>Configured value</w:t>
            </w:r>
          </w:p>
        </w:tc>
      </w:tr>
      <w:tr>
        <w:tc>
          <w:tcPr>
            <w:tcW w:type="dxa" w:w="4997"/>
            <w:vAlign w:val="center"/>
            <w:tcMar>
              <w:top w:w="100" w:type="dxa"/>
              <w:start w:w="120" w:type="dxa"/>
              <w:bottom w:w="100" w:type="dxa"/>
              <w:end w:w="120" w:type="dxa"/>
            </w:tcMar>
            <w:tcW w:w="2880" w:type="dxa"/>
          </w:tcPr>
          <w:p>
            <w:pPr>
              <w:spacing w:after="0"/>
            </w:pPr>
            <w:r>
              <w:rPr>
                <w:sz w:val="17"/>
              </w:rPr>
              <w:t>Resource group</w:t>
            </w:r>
          </w:p>
        </w:tc>
        <w:tc>
          <w:tcPr>
            <w:tcW w:type="dxa" w:w="4997"/>
            <w:vAlign w:val="center"/>
            <w:tcMar>
              <w:top w:w="100" w:type="dxa"/>
              <w:start w:w="120" w:type="dxa"/>
              <w:bottom w:w="100" w:type="dxa"/>
              <w:end w:w="120" w:type="dxa"/>
            </w:tcMar>
            <w:tcW w:w="7632" w:type="dxa"/>
          </w:tcPr>
          <w:p>
            <w:pPr>
              <w:spacing w:after="0"/>
            </w:pPr>
            <w:r>
              <w:rPr>
                <w:sz w:val="17"/>
              </w:rPr>
              <w:t>foundry-hackathon-rg-0c39e178</w:t>
            </w:r>
          </w:p>
        </w:tc>
      </w:tr>
      <w:tr>
        <w:tc>
          <w:tcPr>
            <w:tcW w:type="dxa" w:w="4997"/>
            <w:shd w:fill="F7F8FC"/>
            <w:vAlign w:val="center"/>
            <w:tcMar>
              <w:top w:w="100" w:type="dxa"/>
              <w:start w:w="120" w:type="dxa"/>
              <w:bottom w:w="100" w:type="dxa"/>
              <w:end w:w="120" w:type="dxa"/>
            </w:tcMar>
            <w:tcW w:w="2880" w:type="dxa"/>
          </w:tcPr>
          <w:p>
            <w:pPr>
              <w:spacing w:after="0"/>
            </w:pPr>
            <w:r>
              <w:rPr>
                <w:sz w:val="17"/>
              </w:rPr>
              <w:t>Foundry account</w:t>
            </w:r>
          </w:p>
        </w:tc>
        <w:tc>
          <w:tcPr>
            <w:tcW w:type="dxa" w:w="4997"/>
            <w:shd w:fill="F7F8FC"/>
            <w:vAlign w:val="center"/>
            <w:tcMar>
              <w:top w:w="100" w:type="dxa"/>
              <w:start w:w="120" w:type="dxa"/>
              <w:bottom w:w="100" w:type="dxa"/>
              <w:end w:w="120" w:type="dxa"/>
            </w:tcMar>
            <w:tcW w:w="7632" w:type="dxa"/>
          </w:tcPr>
          <w:p>
            <w:pPr>
              <w:spacing w:after="0"/>
            </w:pPr>
            <w:r>
              <w:rPr>
                <w:sz w:val="17"/>
              </w:rPr>
              <w:t>mamalink-ai-258f106f5903</w:t>
            </w:r>
          </w:p>
        </w:tc>
      </w:tr>
      <w:tr>
        <w:tc>
          <w:tcPr>
            <w:tcW w:type="dxa" w:w="4997"/>
            <w:vAlign w:val="center"/>
            <w:tcMar>
              <w:top w:w="100" w:type="dxa"/>
              <w:start w:w="120" w:type="dxa"/>
              <w:bottom w:w="100" w:type="dxa"/>
              <w:end w:w="120" w:type="dxa"/>
            </w:tcMar>
            <w:tcW w:w="2880" w:type="dxa"/>
          </w:tcPr>
          <w:p>
            <w:pPr>
              <w:spacing w:after="0"/>
            </w:pPr>
            <w:r>
              <w:rPr>
                <w:sz w:val="17"/>
              </w:rPr>
              <w:t>Foundry project</w:t>
            </w:r>
          </w:p>
        </w:tc>
        <w:tc>
          <w:tcPr>
            <w:tcW w:type="dxa" w:w="4997"/>
            <w:vAlign w:val="center"/>
            <w:tcMar>
              <w:top w:w="100" w:type="dxa"/>
              <w:start w:w="120" w:type="dxa"/>
              <w:bottom w:w="100" w:type="dxa"/>
              <w:end w:w="120" w:type="dxa"/>
            </w:tcMar>
            <w:tcW w:w="7632" w:type="dxa"/>
          </w:tcPr>
          <w:p>
            <w:pPr>
              <w:spacing w:after="0"/>
            </w:pPr>
            <w:r>
              <w:rPr>
                <w:sz w:val="17"/>
              </w:rPr>
              <w:t>mama-link</w:t>
            </w:r>
          </w:p>
        </w:tc>
      </w:tr>
      <w:tr>
        <w:tc>
          <w:tcPr>
            <w:tcW w:type="dxa" w:w="4997"/>
            <w:shd w:fill="F7F8FC"/>
            <w:vAlign w:val="center"/>
            <w:tcMar>
              <w:top w:w="100" w:type="dxa"/>
              <w:start w:w="120" w:type="dxa"/>
              <w:bottom w:w="100" w:type="dxa"/>
              <w:end w:w="120" w:type="dxa"/>
            </w:tcMar>
            <w:tcW w:w="2880" w:type="dxa"/>
          </w:tcPr>
          <w:p>
            <w:pPr>
              <w:spacing w:after="0"/>
            </w:pPr>
            <w:r>
              <w:rPr>
                <w:sz w:val="17"/>
              </w:rPr>
              <w:t>Region</w:t>
            </w:r>
          </w:p>
        </w:tc>
        <w:tc>
          <w:tcPr>
            <w:tcW w:type="dxa" w:w="4997"/>
            <w:shd w:fill="F7F8FC"/>
            <w:vAlign w:val="center"/>
            <w:tcMar>
              <w:top w:w="100" w:type="dxa"/>
              <w:start w:w="120" w:type="dxa"/>
              <w:bottom w:w="100" w:type="dxa"/>
              <w:end w:w="120" w:type="dxa"/>
            </w:tcMar>
            <w:tcW w:w="7632" w:type="dxa"/>
          </w:tcPr>
          <w:p>
            <w:pPr>
              <w:spacing w:after="0"/>
            </w:pPr>
            <w:r>
              <w:rPr>
                <w:sz w:val="17"/>
              </w:rPr>
              <w:t>Sweden Central</w:t>
            </w:r>
          </w:p>
        </w:tc>
      </w:tr>
      <w:tr>
        <w:tc>
          <w:tcPr>
            <w:tcW w:type="dxa" w:w="4997"/>
            <w:vAlign w:val="center"/>
            <w:tcMar>
              <w:top w:w="100" w:type="dxa"/>
              <w:start w:w="120" w:type="dxa"/>
              <w:bottom w:w="100" w:type="dxa"/>
              <w:end w:w="120" w:type="dxa"/>
            </w:tcMar>
            <w:tcW w:w="2880" w:type="dxa"/>
          </w:tcPr>
          <w:p>
            <w:pPr>
              <w:spacing w:after="0"/>
            </w:pPr>
            <w:r>
              <w:rPr>
                <w:sz w:val="17"/>
              </w:rPr>
              <w:t>Model deployment</w:t>
            </w:r>
          </w:p>
        </w:tc>
        <w:tc>
          <w:tcPr>
            <w:tcW w:type="dxa" w:w="4997"/>
            <w:vAlign w:val="center"/>
            <w:tcMar>
              <w:top w:w="100" w:type="dxa"/>
              <w:start w:w="120" w:type="dxa"/>
              <w:bottom w:w="100" w:type="dxa"/>
              <w:end w:w="120" w:type="dxa"/>
            </w:tcMar>
            <w:tcW w:w="7632" w:type="dxa"/>
          </w:tcPr>
          <w:p>
            <w:pPr>
              <w:spacing w:after="0"/>
            </w:pPr>
            <w:r>
              <w:rPr>
                <w:sz w:val="17"/>
              </w:rPr>
              <w:t>gpt-4.1-mini, version 2025-04-14, Global Standard, capacity 10</w:t>
            </w:r>
          </w:p>
        </w:tc>
      </w:tr>
      <w:tr>
        <w:tc>
          <w:tcPr>
            <w:tcW w:type="dxa" w:w="4997"/>
            <w:shd w:fill="F7F8FC"/>
            <w:vAlign w:val="center"/>
            <w:tcMar>
              <w:top w:w="100" w:type="dxa"/>
              <w:start w:w="120" w:type="dxa"/>
              <w:bottom w:w="100" w:type="dxa"/>
              <w:end w:w="120" w:type="dxa"/>
            </w:tcMar>
            <w:tcW w:w="2880" w:type="dxa"/>
          </w:tcPr>
          <w:p>
            <w:pPr>
              <w:spacing w:after="0"/>
            </w:pPr>
            <w:r>
              <w:rPr>
                <w:sz w:val="17"/>
              </w:rPr>
              <w:t>Prompt agents</w:t>
            </w:r>
          </w:p>
        </w:tc>
        <w:tc>
          <w:tcPr>
            <w:tcW w:type="dxa" w:w="4997"/>
            <w:shd w:fill="F7F8FC"/>
            <w:vAlign w:val="center"/>
            <w:tcMar>
              <w:top w:w="100" w:type="dxa"/>
              <w:start w:w="120" w:type="dxa"/>
              <w:bottom w:w="100" w:type="dxa"/>
              <w:end w:w="120" w:type="dxa"/>
            </w:tcMar>
            <w:tcW w:w="7632" w:type="dxa"/>
          </w:tcPr>
          <w:p>
            <w:pPr>
              <w:spacing w:after="0"/>
            </w:pPr>
            <w:r>
              <w:rPr>
                <w:sz w:val="17"/>
              </w:rPr>
              <w:t>mama-link-triage v1; mama-link-referral v1; mama-link-knowledge v1</w:t>
            </w:r>
          </w:p>
        </w:tc>
      </w:tr>
      <w:tr>
        <w:tc>
          <w:tcPr>
            <w:tcW w:type="dxa" w:w="4997"/>
            <w:vAlign w:val="center"/>
            <w:tcMar>
              <w:top w:w="100" w:type="dxa"/>
              <w:start w:w="120" w:type="dxa"/>
              <w:bottom w:w="100" w:type="dxa"/>
              <w:end w:w="120" w:type="dxa"/>
            </w:tcMar>
            <w:tcW w:w="2880" w:type="dxa"/>
          </w:tcPr>
          <w:p>
            <w:pPr>
              <w:spacing w:after="0"/>
            </w:pPr>
            <w:r>
              <w:rPr>
                <w:sz w:val="17"/>
              </w:rPr>
              <w:t>Vector store</w:t>
            </w:r>
          </w:p>
        </w:tc>
        <w:tc>
          <w:tcPr>
            <w:tcW w:type="dxa" w:w="4997"/>
            <w:vAlign w:val="center"/>
            <w:tcMar>
              <w:top w:w="100" w:type="dxa"/>
              <w:start w:w="120" w:type="dxa"/>
              <w:bottom w:w="100" w:type="dxa"/>
              <w:end w:w="120" w:type="dxa"/>
            </w:tcMar>
            <w:tcW w:w="7632" w:type="dxa"/>
          </w:tcPr>
          <w:p>
            <w:pPr>
              <w:spacing w:after="0"/>
            </w:pPr>
            <w:r>
              <w:rPr>
                <w:sz w:val="17"/>
              </w:rPr>
              <w:t>mama-link-public-sources</w:t>
            </w:r>
          </w:p>
        </w:tc>
      </w:tr>
      <w:tr>
        <w:tc>
          <w:tcPr>
            <w:tcW w:type="dxa" w:w="4997"/>
            <w:shd w:fill="F7F8FC"/>
            <w:vAlign w:val="center"/>
            <w:tcMar>
              <w:top w:w="100" w:type="dxa"/>
              <w:start w:w="120" w:type="dxa"/>
              <w:bottom w:w="100" w:type="dxa"/>
              <w:end w:w="120" w:type="dxa"/>
            </w:tcMar>
            <w:tcW w:w="2880" w:type="dxa"/>
          </w:tcPr>
          <w:p>
            <w:pPr>
              <w:spacing w:after="0"/>
            </w:pPr>
            <w:r>
              <w:rPr>
                <w:sz w:val="17"/>
              </w:rPr>
              <w:t>Application Insights</w:t>
            </w:r>
          </w:p>
        </w:tc>
        <w:tc>
          <w:tcPr>
            <w:tcW w:type="dxa" w:w="4997"/>
            <w:shd w:fill="F7F8FC"/>
            <w:vAlign w:val="center"/>
            <w:tcMar>
              <w:top w:w="100" w:type="dxa"/>
              <w:start w:w="120" w:type="dxa"/>
              <w:bottom w:w="100" w:type="dxa"/>
              <w:end w:w="120" w:type="dxa"/>
            </w:tcMar>
            <w:tcW w:w="7632" w:type="dxa"/>
          </w:tcPr>
          <w:p>
            <w:pPr>
              <w:spacing w:after="0"/>
            </w:pPr>
            <w:r>
              <w:rPr>
                <w:sz w:val="17"/>
              </w:rPr>
              <w:t>mamalink-insights-258f106f5903</w:t>
            </w:r>
          </w:p>
        </w:tc>
      </w:tr>
      <w:tr>
        <w:tc>
          <w:tcPr>
            <w:tcW w:type="dxa" w:w="4997"/>
            <w:vAlign w:val="center"/>
            <w:tcMar>
              <w:top w:w="100" w:type="dxa"/>
              <w:start w:w="120" w:type="dxa"/>
              <w:bottom w:w="100" w:type="dxa"/>
              <w:end w:w="120" w:type="dxa"/>
            </w:tcMar>
            <w:tcW w:w="2880" w:type="dxa"/>
          </w:tcPr>
          <w:p>
            <w:pPr>
              <w:spacing w:after="0"/>
            </w:pPr>
            <w:r>
              <w:rPr>
                <w:sz w:val="17"/>
              </w:rPr>
              <w:t>Log Analytics</w:t>
            </w:r>
          </w:p>
        </w:tc>
        <w:tc>
          <w:tcPr>
            <w:tcW w:type="dxa" w:w="4997"/>
            <w:vAlign w:val="center"/>
            <w:tcMar>
              <w:top w:w="100" w:type="dxa"/>
              <w:start w:w="120" w:type="dxa"/>
              <w:bottom w:w="100" w:type="dxa"/>
              <w:end w:w="120" w:type="dxa"/>
            </w:tcMar>
            <w:tcW w:w="7632" w:type="dxa"/>
          </w:tcPr>
          <w:p>
            <w:pPr>
              <w:spacing w:after="0"/>
            </w:pPr>
            <w:r>
              <w:rPr>
                <w:sz w:val="17"/>
              </w:rPr>
              <w:t>mamalink-logs-258f106f5903; 30-day retention</w:t>
            </w:r>
          </w:p>
        </w:tc>
      </w:tr>
    </w:tbl>
    <w:p>
      <w:pPr>
        <w:spacing w:after="0"/>
      </w:pPr>
    </w:p>
    <w:p>
      <w:pPr>
        <w:pStyle w:val="Heading1"/>
        <w:keepNext/>
      </w:pPr>
      <w:r>
        <w:t>Appendix B Reproduction commands</w:t>
      </w:r>
    </w:p>
    <w:p>
      <w:r>
        <w:rPr>
          <w:rFonts w:ascii="Consolas" w:hAnsi="Consolas"/>
          <w:sz w:val="18"/>
        </w:rPr>
        <w:t>.\scripts\setup.ps1</w:t>
      </w:r>
    </w:p>
    <w:p>
      <w:r>
        <w:rPr>
          <w:rFonts w:ascii="Consolas" w:hAnsi="Consolas"/>
          <w:sz w:val="18"/>
        </w:rPr>
        <w:t>.\scripts\start.ps1</w:t>
      </w:r>
    </w:p>
    <w:p>
      <w:r>
        <w:rPr>
          <w:rFonts w:ascii="Consolas" w:hAnsi="Consolas"/>
          <w:sz w:val="18"/>
        </w:rPr>
        <w:t>.\.venv\Scripts\python.exe scripts\verify.py</w:t>
      </w:r>
    </w:p>
    <w:p>
      <w:r>
        <w:rPr>
          <w:rFonts w:ascii="Consolas" w:hAnsi="Consolas"/>
          <w:sz w:val="18"/>
        </w:rPr>
        <w:t>.\infra\check-foundry.ps1</w:t>
      </w:r>
    </w:p>
    <w:p>
      <w:r>
        <w:rPr>
          <w:rFonts w:ascii="Consolas" w:hAnsi="Consolas"/>
          <w:sz w:val="18"/>
        </w:rPr>
        <w:t>.\.venv\Scripts\python.exe -m mama_link.foundry doctor</w:t>
      </w:r>
    </w:p>
    <w:p>
      <w:r>
        <w:rPr>
          <w:rFonts w:ascii="Consolas" w:hAnsi="Consolas"/>
          <w:sz w:val="18"/>
        </w:rPr>
        <w:t>.\.venv\Scripts\python.exe -m mama_link.foundry demo --case MAT-005</w:t>
      </w:r>
    </w:p>
    <w:p>
      <w:r>
        <w:rPr>
          <w:rFonts w:ascii="Consolas" w:hAnsi="Consolas"/>
          <w:sz w:val="18"/>
        </w:rPr>
        <w:t>.\.venv\Scripts\python.exe -m mama_link.foundry knowledge-demo</w:t>
      </w:r>
    </w:p>
    <w:p>
      <w:r>
        <w:rPr>
          <w:rFonts w:ascii="Consolas" w:hAnsi="Consolas"/>
          <w:sz w:val="18"/>
        </w:rPr>
        <w:t>.\infra\provision-monitoring.ps1</w:t>
      </w:r>
    </w:p>
    <w:p>
      <w:pPr>
        <w:pStyle w:val="Heading1"/>
        <w:keepNext/>
      </w:pPr>
      <w:r>
        <w:t>Appendix C References</w:t>
      </w:r>
    </w:p>
    <w:p>
      <w:pPr>
        <w:pStyle w:val="ListBullet"/>
      </w:pPr>
      <w:r>
        <w:t>Microsoft. File search tool for Microsoft Foundry agents. https://learn.microsoft.com/en-us/azure/foundry/agents/how-to/tools/file-search</w:t>
      </w:r>
    </w:p>
    <w:p>
      <w:pPr>
        <w:pStyle w:val="ListBullet"/>
      </w:pPr>
      <w:r>
        <w:t>Microsoft. Function calling with Foundry agents. https://learn.microsoft.com/en-us/azure/foundry/agents/how-to/tools/function-calling</w:t>
      </w:r>
    </w:p>
    <w:p>
      <w:pPr>
        <w:pStyle w:val="ListBullet"/>
      </w:pPr>
      <w:r>
        <w:t>Microsoft. Enable OpenTelemetry in Application Insights. https://learn.microsoft.com/en-us/azure/azure-monitor/app/opentelemetry-enable</w:t>
      </w:r>
    </w:p>
    <w:p>
      <w:pPr>
        <w:pStyle w:val="ListBullet"/>
      </w:pPr>
      <w:r>
        <w:t>World Health Organization. Maternal mortality. https://www.who.int/news-room/fact-sheets/detail/maternal-mortality</w:t>
      </w:r>
    </w:p>
    <w:p>
      <w:pPr>
        <w:pStyle w:val="ListBullet"/>
      </w:pPr>
      <w:r>
        <w:t>World Health Organization. Counselling for Maternal and Newborn Health Care. https://iris.who.int/bitstream/handle/10665/44016/9789241547628_eng.pdf</w:t>
      </w:r>
    </w:p>
    <w:p>
      <w:pPr>
        <w:pStyle w:val="ListBullet"/>
      </w:pPr>
      <w:r>
        <w:t>United Nations Population Fund. Obstetric fistula. https://www.unfpa.org/obstetric-fistula</w:t>
      </w:r>
    </w:p>
    <w:p>
      <w:pPr>
        <w:pStyle w:val="ListBullet"/>
      </w:pPr>
      <w:r>
        <w:t>MAMA-Link product requirements document and synthetic evaluation assets in the project repository.</w:t>
      </w:r>
    </w:p>
    <w:sectPr w:rsidR="00FC693F" w:rsidRPr="0006063C" w:rsidSect="00034616">
      <w:headerReference w:type="default" r:id="rId9"/>
      <w:footerReference w:type="default" r:id="rId10"/>
      <w:pgSz w:w="12240" w:h="15840"/>
      <w:pgMar w:top="1037" w:right="1123" w:bottom="1037" w:left="1123"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t xml:space="preserve">Hackathon submission   </w:t>
    </w:r>
    <w:r>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Caption"/>
    </w:pPr>
    <w:r>
      <w:rPr>
        <w:color w:val="5F6673"/>
      </w:rPr>
      <w:t>MAMA Link   Microsoft Foundry multi agent solution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9" w:lineRule="auto"/>
    </w:pPr>
    <w:rPr>
      <w:rFonts w:ascii="Aptos" w:hAnsi="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00"/>
      <w:outlineLvl w:val="0"/>
    </w:pPr>
    <w:rPr>
      <w:rFonts w:asciiTheme="majorHAnsi" w:eastAsiaTheme="majorEastAsia" w:hAnsiTheme="majorHAnsi" w:cstheme="majorBidi" w:ascii="Aptos Display" w:hAnsi="Aptos Display"/>
      <w:b/>
      <w:bCs/>
      <w:color w:val="000000"/>
      <w:sz w:val="38"/>
      <w:szCs w:val="28"/>
    </w:rPr>
  </w:style>
  <w:style w:type="paragraph" w:styleId="Heading2">
    <w:name w:val="heading 2"/>
    <w:basedOn w:val="Normal"/>
    <w:next w:val="Normal"/>
    <w:link w:val="Heading2Char"/>
    <w:uiPriority w:val="9"/>
    <w:unhideWhenUsed/>
    <w:qFormat/>
    <w:rsid w:val="00FC693F"/>
    <w:pPr>
      <w:keepNext/>
      <w:keepLines/>
      <w:spacing w:before="240" w:after="100"/>
      <w:outlineLvl w:val="1"/>
    </w:pPr>
    <w:rPr>
      <w:rFonts w:asciiTheme="majorHAnsi" w:eastAsiaTheme="majorEastAsia" w:hAnsiTheme="majorHAnsi" w:cstheme="majorBidi" w:ascii="Aptos Display" w:hAnsi="Aptos Display"/>
      <w:b/>
      <w:bCs/>
      <w:color w:val="000000"/>
      <w:sz w:val="28"/>
      <w:szCs w:val="26"/>
    </w:rPr>
  </w:style>
  <w:style w:type="paragraph" w:styleId="Heading3">
    <w:name w:val="heading 3"/>
    <w:basedOn w:val="Normal"/>
    <w:next w:val="Normal"/>
    <w:link w:val="Heading3Char"/>
    <w:uiPriority w:val="9"/>
    <w:unhideWhenUsed/>
    <w:qFormat/>
    <w:rsid w:val="00FC693F"/>
    <w:pPr>
      <w:keepNext/>
      <w:keepLines/>
      <w:spacing w:before="240" w:after="100"/>
      <w:outlineLvl w:val="2"/>
    </w:pPr>
    <w:rPr>
      <w:rFonts w:asciiTheme="majorHAnsi" w:eastAsiaTheme="majorEastAsia" w:hAnsiTheme="majorHAnsi" w:cstheme="majorBidi" w:ascii="Aptos Display" w:hAnsi="Aptos Display"/>
      <w:b/>
      <w:bCs/>
      <w:color w:val="000000"/>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000000"/>
      <w:spacing w:val="5"/>
      <w:kern w:val="28"/>
      <w:sz w:val="6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MAMA Link Multi Agent Maternal Health Coordination Solution</dc:title>
  <dc:subject>Microsoft Foundry hackathon final activity submission</dc:subject>
  <dc:creator>MAMA-Link Project Team</dc:creator>
  <cp:keywords/>
  <dc:description>generated by python-docx</dc:description>
  <cp:lastModifiedBy/>
  <cp:revision>1</cp:revision>
  <dcterms:created xsi:type="dcterms:W3CDTF">2013-12-23T23:15:00Z</dcterms:created>
  <dcterms:modified xsi:type="dcterms:W3CDTF">2013-12-23T23:15:00Z</dcterms:modified>
  <cp:category/>
</cp:coreProperties>
</file>