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563EB"/>
          <w:sz w:val="40"/>
        </w:rPr>
        <w:t>EIGENFACES PRESENTATION: TELEPROMPTER SCRIPT</w:t>
      </w:r>
    </w:p>
    <w:p>
      <w:pPr>
        <w:jc w:val="center"/>
      </w:pPr>
      <w:r>
        <w:rPr>
          <w:rFonts w:ascii="Arial" w:hAnsi="Arial"/>
          <w:i/>
          <w:color w:val="64748B"/>
          <w:sz w:val="24"/>
        </w:rPr>
        <w:t>One-Line Speaking Prompts • Scroll As You Present</w:t>
      </w:r>
    </w:p>
    <w:p>
      <w:pPr>
        <w:spacing w:after="240"/>
      </w:pP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▶  SLIDE 1: TITLE &amp; INTRODUCTION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Good morning respected lecturer and evaluators, my name is Shashank M T.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Today I am presenting my project on Eigenfaces for Face Recognition, based on the landmark 1991 paper by Turk and Pentland.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The entire system is built from scratch in Python using pure linear algebra without any machine learning shortcuts.</w:t>
      </w:r>
    </w:p>
    <w:p>
      <w:pPr>
        <w:spacing w:before="40" w:after="160"/>
      </w:pPr>
      <w:r>
        <w:rPr>
          <w:color w:val="64748B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▶  SLIDE 2: MOTIVATION &amp; THE PARADIGM SHIFT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Before 1991, computers tried measuring physical distances—like eye-to-eye width or nose length.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That old geometric method failed whenever someone smiled, turned their head, or lighting changed.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Turk and Pentland introduced a breakthrough: treat the entire face as a single 2D pattern of pixels.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Because all human faces share basic structure, we only need to capture the differences that make each face unique.</w:t>
      </w:r>
    </w:p>
    <w:p>
      <w:pPr>
        <w:spacing w:before="40" w:after="160"/>
      </w:pPr>
      <w:r>
        <w:rPr>
          <w:color w:val="64748B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▶  SLIDE 3: MATHEMATICAL SUBSPACE &amp; MEAN FACE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Every 64 by 64 photo is flattened into a single column of 4,096 pixel numbers.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We calculate the Average Face (Psi) by averaging all 245 training photos together.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The Average Face acts as our baseline, capturing generic human anatomy.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We subtract the Average Face from each photo so we are left with only distinctive individual variations.</w:t>
      </w:r>
    </w:p>
    <w:p>
      <w:pPr>
        <w:spacing w:before="40" w:after="160"/>
      </w:pPr>
      <w:r>
        <w:rPr>
          <w:color w:val="64748B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▶  SLIDE 4: THE TURK-PENTLAND COVARIANCE SHORTCUT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To find the principal components, standard PCA requires a 4,096 by 4,096 covariance matrix.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That matrix has 16.7 million numbers—which is computationally intractable on normal hardware.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Since we only have 245 images, Turk and Pentland flipped the multiplication to a tiny 245 by 245 matrix.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That surrogate matrix is 279.5 times smaller and solves in milliseconds.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Multiplying the small eigenvectors by our data matrix recovers the exact eigenvectors of the giant matrix.</w:t>
      </w:r>
    </w:p>
    <w:p>
      <w:pPr>
        <w:spacing w:before="40" w:after="160"/>
      </w:pPr>
      <w:r>
        <w:rPr>
          <w:color w:val="64748B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▶  SLIDE 5: HOW EIGENFACES ARE FORMED (THE GHOST FACE RECIPE)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Each small eigenvector is a recipe of 245 numbers telling us how much of each training face to blend.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Multiplying by matrix A literally blends all 245 training faces together into one image.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That is why Eigenfaces look like glowing, ghostly faces—they are composite blends of all human subjects.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Eigenfaces 1 and 2 capture major lighting directions.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Eigenfaces 3 to 10 capture broad facial shapes and jawlines.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Eigenfaces 11 to 40 capture fine details like eyes, noses, and lips.</w:t>
      </w:r>
    </w:p>
    <w:p>
      <w:pPr>
        <w:spacing w:before="40" w:after="160"/>
      </w:pPr>
      <w:r>
        <w:rPr>
          <w:color w:val="64748B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▶  SLIDE 6: EIGENFACES GALLERY &amp; SCREE SPECTRUM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Here is our visual gallery of the top 16 ghost-like Eigenfaces.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Our scree plot shows eigenvalues dropping exponentially.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The first 40 Eigenfaces capture over 88% of all facial variation across the dataset.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The remaining hundreds of components only contain camera noise and are safely discarded.</w:t>
      </w:r>
    </w:p>
    <w:p>
      <w:pPr>
        <w:spacing w:before="40" w:after="160"/>
      </w:pPr>
      <w:r>
        <w:rPr>
          <w:color w:val="64748B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▶  SLIDE 7: PROJECTION &amp; PROGRESSIVE RECONSTRUCTION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To encode a face, we take dot products with each Eigenface to get just 40 scalar weights (Omega).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This achieves a 99% data compression—compressing 4,096 raw pixels into just 40 numbers.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To rebuild the face, we start with the Average Face and add each Eigenface weighted by those numbers.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With 2 Eigenfaces the reconstruction is blurry; by 40 Eigenfaces the person's face snaps into clear focus.</w:t>
      </w:r>
    </w:p>
    <w:p>
      <w:pPr>
        <w:spacing w:before="40" w:after="160"/>
      </w:pPr>
      <w:r>
        <w:rPr>
          <w:color w:val="64748B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▶  SLIDE 8: THE 4-WAY DECISION RULE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Naive systems only do nearest-neighbor and falsely match non-faces to real people.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Our system asks Question 1: 'Is it a human face?' by checking reconstruction error (epsilon_d).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Because Eigenfaces only know how to build faces, random objects like cups or dogs produce huge errors and get rejected.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Question 2: 'Who is it?' checks distance to known people in face space (epsilon_c).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Zone 1 (Bottom-Left): Enrolled subject recognized successfully.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Zone 2 (Top-Left): Human face detected, but an unseen stranger—triggering enrollment.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Zone 3 (Top-Right): Not a face, completely far from all face space.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Zone 4 (Bottom-Right): Not a face whose projection accidentally matched someone—safely rejected by epsilon_d.</w:t>
      </w:r>
    </w:p>
    <w:p>
      <w:pPr>
        <w:spacing w:before="40" w:after="160"/>
      </w:pPr>
      <w:r>
        <w:rPr>
          <w:color w:val="64748B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▶  SLIDE 9: EXPERIMENTAL SETUP &amp; DATASET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We evaluated using 400 facial images from the benchmark AT&amp;T / Olivetti dataset.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We partitioned 35 enrolled individuals (245 training images and 105 test probes).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We reserved 5 individuals completely unseen (50 unknown faces) to evaluate stranger detection.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We benchmarked 20 synthetic non-face patterns to verify false-positive rejection.</w:t>
      </w:r>
    </w:p>
    <w:p>
      <w:pPr>
        <w:spacing w:before="40" w:after="160"/>
      </w:pPr>
      <w:r>
        <w:rPr>
          <w:color w:val="64748B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▶  SLIDE 10: EMPIRICAL RESULTS &amp; ROBUSTNESS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Our classifier reaches approximately 90% recognition accuracy with just 40 Eigenfaces.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Non-face rejection rate exceeds 85% with zero false rejections of real faces.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The model is robust to moderate Gaussian noise and tolerates facial occlusions up to 25%.</w:t>
      </w:r>
    </w:p>
    <w:p>
      <w:pPr>
        <w:spacing w:before="40" w:after="160"/>
      </w:pPr>
      <w:r>
        <w:rPr>
          <w:color w:val="64748B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▶  SLIDE 11: COMPARATIVE EVOLUTION (1991 TO PRESENT)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Eigenfaces (PCA, 1991) is unsupervised, maximizes total variance, and trains instantly in 0.14 seconds.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Fisherfaces (LDA, 1997) was invented to discard lighting variations by maximizing between-class scatter.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Modern Deep CNNs (FaceNet, 2015+) use deep neural networks for wild, uncontrolled selfies.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Eigenfaces remains ideal for lightweight, privacy-preserving edge devices and embedded microcontrollers.</w:t>
      </w:r>
    </w:p>
    <w:p>
      <w:pPr>
        <w:spacing w:before="40" w:after="160"/>
      </w:pPr>
      <w:r>
        <w:rPr>
          <w:color w:val="64748B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▶  SLIDE 12: DEMONSTRATION INTERFACES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We built an automated CLI benchmark script (demo.py) that runs diagnostics and generates publication figures.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We also created an interactive Web Dashboard (app.py) running on localhost port 5050.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The web dashboard shows real-time Green (Known), Blue (Stranger), and Red (Not a Face) decision banners.</w:t>
      </w:r>
    </w:p>
    <w:p>
      <w:pPr>
        <w:spacing w:before="40" w:after="160"/>
      </w:pPr>
      <w:r>
        <w:rPr>
          <w:color w:val="64748B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▶  SLIDE 13: CONCLUSION &amp; SUMMARY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In summary, we implemented an exact, from-scratch realization of Turk and Pentland's landmark 1991 paper.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We achieved 99% data compression and ~90% accuracy using pure NumPy linear algebra.</w:t>
      </w:r>
    </w:p>
    <w:p>
      <w:pPr>
        <w:spacing w:before="60" w:after="80" w:line="276" w:lineRule="auto"/>
        <w:ind w:left="360"/>
      </w:pPr>
      <w:r>
        <w:rPr>
          <w:rFonts w:ascii="Arial" w:hAnsi="Arial"/>
          <w:b/>
          <w:color w:val="10B981"/>
          <w:sz w:val="23"/>
        </w:rPr>
        <w:t xml:space="preserve">•  </w:t>
      </w:r>
      <w:r>
        <w:rPr>
          <w:rFonts w:ascii="Arial" w:hAnsi="Arial"/>
          <w:color w:val="1E293B"/>
          <w:sz w:val="23"/>
        </w:rPr>
        <w:t>Thank you for your time and attention; I am now ready for your questions.</w:t>
      </w:r>
    </w:p>
    <w:p>
      <w:pPr>
        <w:spacing w:before="40" w:after="160"/>
      </w:pPr>
      <w:r>
        <w:rPr>
          <w:color w:val="64748B"/>
          <w:sz w:val="16"/>
        </w:rPr>
        <w:t>―――――――――――――――――――――――――――――――――――――――――――――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