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A67" w:rsidRPr="00284D80" w:rsidRDefault="002C2C9C" w:rsidP="00284D80">
      <w:pPr>
        <w:pStyle w:val="ListParagraph"/>
        <w:numPr>
          <w:ilvl w:val="0"/>
          <w:numId w:val="1"/>
        </w:numPr>
        <w:ind w:left="1080"/>
        <w:rPr>
          <w:rFonts w:ascii="Verdana" w:hAnsi="Verdana"/>
          <w:sz w:val="20"/>
          <w:szCs w:val="20"/>
        </w:rPr>
      </w:pPr>
      <w:r w:rsidRPr="00284D80">
        <w:rPr>
          <w:rFonts w:ascii="Verdana" w:hAnsi="Verdana"/>
          <w:sz w:val="20"/>
          <w:szCs w:val="20"/>
        </w:rPr>
        <w:t>Underwriting is raising fund for corporations and governments by issuing new debt or equity securities.</w:t>
      </w:r>
    </w:p>
    <w:p w:rsidR="002C2C9C" w:rsidRPr="00284D80" w:rsidRDefault="002C2C9C" w:rsidP="00284D80">
      <w:pPr>
        <w:pStyle w:val="ListParagraph"/>
        <w:numPr>
          <w:ilvl w:val="0"/>
          <w:numId w:val="1"/>
        </w:numPr>
        <w:ind w:left="1080"/>
        <w:rPr>
          <w:rFonts w:ascii="Verdana" w:hAnsi="Verdana"/>
          <w:sz w:val="20"/>
          <w:szCs w:val="20"/>
        </w:rPr>
      </w:pPr>
      <w:r w:rsidRPr="00284D80">
        <w:rPr>
          <w:rFonts w:ascii="Verdana" w:hAnsi="Verdana"/>
          <w:sz w:val="20"/>
          <w:szCs w:val="20"/>
        </w:rPr>
        <w:t>Underwriting, Corporate Advisory and merchant banking distinguish Investment Banks from other banking groups like Commercial Banks and Securities Brokers.</w:t>
      </w:r>
    </w:p>
    <w:p w:rsidR="002C2C9C" w:rsidRPr="00284D80" w:rsidRDefault="009A17C7" w:rsidP="00284D80">
      <w:pPr>
        <w:pStyle w:val="ListParagraph"/>
        <w:numPr>
          <w:ilvl w:val="0"/>
          <w:numId w:val="1"/>
        </w:numPr>
        <w:ind w:left="1080"/>
        <w:rPr>
          <w:rFonts w:ascii="Verdana" w:hAnsi="Verdana"/>
          <w:sz w:val="20"/>
          <w:szCs w:val="20"/>
        </w:rPr>
      </w:pPr>
      <w:r w:rsidRPr="00284D80">
        <w:rPr>
          <w:rFonts w:ascii="Verdana" w:hAnsi="Verdana"/>
          <w:sz w:val="20"/>
          <w:szCs w:val="20"/>
        </w:rPr>
        <w:t xml:space="preserve">The cost of underwriting is called as the </w:t>
      </w:r>
      <w:r w:rsidRPr="00284D80">
        <w:rPr>
          <w:rFonts w:ascii="Verdana" w:hAnsi="Verdana"/>
          <w:b/>
          <w:sz w:val="20"/>
          <w:szCs w:val="20"/>
        </w:rPr>
        <w:t>gross underwriting spread.</w:t>
      </w:r>
    </w:p>
    <w:p w:rsidR="009A17C7" w:rsidRPr="00284D80" w:rsidRDefault="00637BC4" w:rsidP="00284D80">
      <w:pPr>
        <w:pStyle w:val="ListParagraph"/>
        <w:numPr>
          <w:ilvl w:val="0"/>
          <w:numId w:val="1"/>
        </w:numPr>
        <w:ind w:left="1080"/>
        <w:rPr>
          <w:rFonts w:ascii="Verdana" w:hAnsi="Verdana"/>
          <w:sz w:val="20"/>
          <w:szCs w:val="20"/>
        </w:rPr>
      </w:pPr>
      <w:r w:rsidRPr="00284D80">
        <w:rPr>
          <w:rFonts w:ascii="Verdana" w:hAnsi="Verdana"/>
          <w:sz w:val="20"/>
          <w:szCs w:val="20"/>
        </w:rPr>
        <w:t>An LBO (Leveraged BuyOut) fund buys public companies and takes them private with the use of substantial leverage. May maintain their holdings long-term, or may later bring these companies public via an IPO (initial public offering) or sell them to another acquirer.</w:t>
      </w:r>
    </w:p>
    <w:p w:rsidR="00637BC4" w:rsidRPr="00284D80" w:rsidRDefault="003B5BBB" w:rsidP="00284D80">
      <w:pPr>
        <w:pStyle w:val="ListParagraph"/>
        <w:numPr>
          <w:ilvl w:val="0"/>
          <w:numId w:val="1"/>
        </w:numPr>
        <w:ind w:left="1080"/>
        <w:rPr>
          <w:rFonts w:ascii="Verdana" w:hAnsi="Verdana"/>
          <w:sz w:val="20"/>
          <w:szCs w:val="20"/>
        </w:rPr>
      </w:pPr>
      <w:r w:rsidRPr="00284D80">
        <w:rPr>
          <w:rFonts w:ascii="Verdana" w:hAnsi="Verdana"/>
          <w:sz w:val="20"/>
          <w:szCs w:val="20"/>
        </w:rPr>
        <w:t>Following are the investment bank business criteria:</w:t>
      </w:r>
    </w:p>
    <w:p w:rsidR="003B5BBB" w:rsidRPr="00284D80" w:rsidRDefault="003B5BBB" w:rsidP="00284D80">
      <w:pPr>
        <w:pStyle w:val="ListParagraph"/>
        <w:ind w:left="1080"/>
        <w:rPr>
          <w:rFonts w:ascii="Verdana" w:hAnsi="Verdana"/>
          <w:sz w:val="20"/>
          <w:szCs w:val="20"/>
        </w:rPr>
      </w:pPr>
      <w:r w:rsidRPr="00284D80">
        <w:rPr>
          <w:rFonts w:ascii="Verdana" w:hAnsi="Verdana"/>
          <w:noProof/>
          <w:sz w:val="20"/>
          <w:szCs w:val="20"/>
          <w:lang w:eastAsia="en-AU"/>
        </w:rPr>
        <w:drawing>
          <wp:inline distT="0" distB="0" distL="0" distR="0" wp14:anchorId="5C20F36B" wp14:editId="77274475">
            <wp:extent cx="4414580" cy="9936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4634" cy="993696"/>
                    </a:xfrm>
                    <a:prstGeom prst="rect">
                      <a:avLst/>
                    </a:prstGeom>
                    <a:noFill/>
                    <a:ln>
                      <a:noFill/>
                    </a:ln>
                  </pic:spPr>
                </pic:pic>
              </a:graphicData>
            </a:graphic>
          </wp:inline>
        </w:drawing>
      </w:r>
    </w:p>
    <w:p w:rsidR="003B5BBB" w:rsidRPr="00284D80" w:rsidRDefault="00922EA1" w:rsidP="00284D80">
      <w:pPr>
        <w:pStyle w:val="ListParagraph"/>
        <w:numPr>
          <w:ilvl w:val="0"/>
          <w:numId w:val="1"/>
        </w:numPr>
        <w:ind w:left="1080"/>
        <w:rPr>
          <w:rFonts w:ascii="Verdana" w:hAnsi="Verdana"/>
          <w:sz w:val="20"/>
          <w:szCs w:val="20"/>
        </w:rPr>
      </w:pPr>
      <w:r w:rsidRPr="00284D80">
        <w:rPr>
          <w:rFonts w:ascii="Verdana" w:hAnsi="Verdana"/>
          <w:sz w:val="20"/>
          <w:szCs w:val="20"/>
        </w:rPr>
        <w:t>Money Mar</w:t>
      </w:r>
      <w:r w:rsidR="004D648A" w:rsidRPr="00284D80">
        <w:rPr>
          <w:rFonts w:ascii="Verdana" w:hAnsi="Verdana"/>
          <w:sz w:val="20"/>
          <w:szCs w:val="20"/>
        </w:rPr>
        <w:t>kets are for funds with maturity of one year or less while Capital markets for permanent equity investments or for debt with a maturity of more than one year.</w:t>
      </w:r>
    </w:p>
    <w:p w:rsidR="004D648A" w:rsidRPr="00284D80" w:rsidRDefault="004D648A" w:rsidP="00284D80">
      <w:pPr>
        <w:pStyle w:val="ListParagraph"/>
        <w:ind w:left="1080"/>
        <w:rPr>
          <w:rFonts w:ascii="Verdana" w:hAnsi="Verdana"/>
          <w:sz w:val="20"/>
          <w:szCs w:val="20"/>
        </w:rPr>
      </w:pPr>
      <w:r w:rsidRPr="00284D80">
        <w:rPr>
          <w:rFonts w:ascii="Verdana" w:hAnsi="Verdana"/>
          <w:noProof/>
          <w:sz w:val="20"/>
          <w:szCs w:val="20"/>
          <w:lang w:eastAsia="en-AU"/>
        </w:rPr>
        <w:drawing>
          <wp:inline distT="0" distB="0" distL="0" distR="0" wp14:anchorId="387A2E9F" wp14:editId="425B55D0">
            <wp:extent cx="2145933" cy="1461278"/>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094" cy="1461388"/>
                    </a:xfrm>
                    <a:prstGeom prst="rect">
                      <a:avLst/>
                    </a:prstGeom>
                    <a:noFill/>
                    <a:ln>
                      <a:noFill/>
                    </a:ln>
                  </pic:spPr>
                </pic:pic>
              </a:graphicData>
            </a:graphic>
          </wp:inline>
        </w:drawing>
      </w:r>
    </w:p>
    <w:p w:rsidR="004D648A" w:rsidRPr="00284D80" w:rsidRDefault="00CE08E6" w:rsidP="00284D80">
      <w:pPr>
        <w:pStyle w:val="ListParagraph"/>
        <w:numPr>
          <w:ilvl w:val="0"/>
          <w:numId w:val="1"/>
        </w:numPr>
        <w:ind w:left="1080"/>
        <w:rPr>
          <w:rFonts w:ascii="Verdana" w:hAnsi="Verdana"/>
          <w:sz w:val="20"/>
          <w:szCs w:val="20"/>
        </w:rPr>
      </w:pPr>
      <w:r w:rsidRPr="00284D80">
        <w:rPr>
          <w:rFonts w:ascii="Verdana" w:hAnsi="Verdana"/>
          <w:sz w:val="20"/>
          <w:szCs w:val="20"/>
        </w:rPr>
        <w:t>Interest Factor = (1+i*t)</w:t>
      </w:r>
      <w:r w:rsidR="00830F39" w:rsidRPr="00284D80">
        <w:rPr>
          <w:rFonts w:ascii="Verdana" w:hAnsi="Verdana"/>
          <w:sz w:val="20"/>
          <w:szCs w:val="20"/>
        </w:rPr>
        <w:t xml:space="preserve"> and Discount Factor = 1/(1+i*t)=v</w:t>
      </w:r>
    </w:p>
    <w:p w:rsidR="003D7E7C" w:rsidRPr="00284D80" w:rsidRDefault="003D7E7C" w:rsidP="00284D80">
      <w:pPr>
        <w:pStyle w:val="ListParagraph"/>
        <w:numPr>
          <w:ilvl w:val="0"/>
          <w:numId w:val="1"/>
        </w:numPr>
        <w:ind w:left="1080"/>
        <w:rPr>
          <w:rFonts w:ascii="Verdana" w:hAnsi="Verdana"/>
          <w:sz w:val="20"/>
          <w:szCs w:val="20"/>
        </w:rPr>
      </w:pPr>
      <w:r w:rsidRPr="00284D80">
        <w:rPr>
          <w:rFonts w:ascii="Verdana" w:hAnsi="Verdana"/>
          <w:sz w:val="20"/>
          <w:szCs w:val="20"/>
        </w:rPr>
        <w:t xml:space="preserve">Regular payments normally occur at the end of the interest period, these are called ordinary annuities. If the regular payment occurs at the beginning of the interest period, it is called an annuity due. If regular payments continue forever, then it is called a </w:t>
      </w:r>
      <w:r w:rsidRPr="00284D80">
        <w:rPr>
          <w:rFonts w:ascii="Verdana" w:hAnsi="Verdana"/>
          <w:b/>
          <w:sz w:val="20"/>
          <w:szCs w:val="20"/>
        </w:rPr>
        <w:t>perpetuity</w:t>
      </w:r>
      <w:r w:rsidRPr="00284D80">
        <w:rPr>
          <w:rFonts w:ascii="Verdana" w:hAnsi="Verdana"/>
          <w:sz w:val="20"/>
          <w:szCs w:val="20"/>
        </w:rPr>
        <w:t>.</w:t>
      </w:r>
    </w:p>
    <w:p w:rsidR="003D7E7C" w:rsidRPr="00284D80" w:rsidRDefault="003D7E7C" w:rsidP="00284D80">
      <w:pPr>
        <w:pStyle w:val="ListParagraph"/>
        <w:ind w:left="1080"/>
        <w:rPr>
          <w:rFonts w:ascii="Verdana" w:hAnsi="Verdana"/>
          <w:sz w:val="20"/>
          <w:szCs w:val="20"/>
        </w:rPr>
      </w:pPr>
      <w:r w:rsidRPr="00284D80">
        <w:rPr>
          <w:rFonts w:ascii="Verdana" w:hAnsi="Verdana"/>
          <w:sz w:val="20"/>
          <w:szCs w:val="20"/>
        </w:rPr>
        <w:t>P = A * (1-v^n)/i*t and F=A*((1/v^n)-1)/i*t</w:t>
      </w:r>
    </w:p>
    <w:p w:rsidR="00CE08E6" w:rsidRPr="00284D80" w:rsidRDefault="003D7E7C" w:rsidP="00284D80">
      <w:pPr>
        <w:pStyle w:val="ListParagraph"/>
        <w:numPr>
          <w:ilvl w:val="0"/>
          <w:numId w:val="1"/>
        </w:numPr>
        <w:ind w:left="1080"/>
        <w:rPr>
          <w:rFonts w:ascii="Verdana" w:hAnsi="Verdana"/>
          <w:sz w:val="20"/>
          <w:szCs w:val="20"/>
        </w:rPr>
      </w:pPr>
      <w:r w:rsidRPr="00284D80">
        <w:rPr>
          <w:rFonts w:ascii="Verdana" w:hAnsi="Verdana"/>
          <w:sz w:val="20"/>
          <w:szCs w:val="20"/>
        </w:rPr>
        <w:t xml:space="preserve"> </w:t>
      </w:r>
      <w:r w:rsidR="00F06DAE" w:rsidRPr="00284D80">
        <w:rPr>
          <w:rFonts w:ascii="Verdana" w:hAnsi="Verdana"/>
          <w:sz w:val="20"/>
          <w:szCs w:val="20"/>
        </w:rPr>
        <w:t>Day Count Fraction = Assumed number of days in period (D)/ Assumed number of days in year(B)</w:t>
      </w:r>
    </w:p>
    <w:p w:rsidR="00F06DAE" w:rsidRDefault="00F06DAE" w:rsidP="00284D80">
      <w:pPr>
        <w:pStyle w:val="ListParagraph"/>
        <w:numPr>
          <w:ilvl w:val="0"/>
          <w:numId w:val="1"/>
        </w:numPr>
        <w:ind w:left="1080"/>
        <w:rPr>
          <w:rFonts w:ascii="Verdana" w:hAnsi="Verdana"/>
          <w:sz w:val="20"/>
          <w:szCs w:val="20"/>
        </w:rPr>
      </w:pPr>
      <w:r w:rsidRPr="00284D80">
        <w:rPr>
          <w:rFonts w:ascii="Verdana" w:hAnsi="Verdana"/>
          <w:sz w:val="20"/>
          <w:szCs w:val="20"/>
        </w:rPr>
        <w:t>Here are some of the conventions that you need to be aware of:</w:t>
      </w:r>
    </w:p>
    <w:p w:rsidR="00E460F0" w:rsidRPr="00DC59FF" w:rsidRDefault="00E460F0" w:rsidP="00E460F0">
      <w:pPr>
        <w:pStyle w:val="ListParagraph"/>
        <w:numPr>
          <w:ilvl w:val="0"/>
          <w:numId w:val="2"/>
        </w:numPr>
        <w:ind w:left="1800"/>
        <w:rPr>
          <w:rFonts w:ascii="Verdana" w:hAnsi="Verdana"/>
          <w:sz w:val="16"/>
          <w:szCs w:val="16"/>
        </w:rPr>
      </w:pPr>
      <w:r w:rsidRPr="00DC59FF">
        <w:rPr>
          <w:rFonts w:ascii="Verdana" w:hAnsi="Verdana"/>
          <w:sz w:val="16"/>
          <w:szCs w:val="16"/>
        </w:rPr>
        <w:t>Spot Date</w:t>
      </w:r>
    </w:p>
    <w:p w:rsidR="00E460F0" w:rsidRPr="00DC59FF" w:rsidRDefault="00E460F0" w:rsidP="00E460F0">
      <w:pPr>
        <w:pStyle w:val="ListParagraph"/>
        <w:numPr>
          <w:ilvl w:val="0"/>
          <w:numId w:val="2"/>
        </w:numPr>
        <w:ind w:left="1800"/>
        <w:rPr>
          <w:rFonts w:ascii="Verdana" w:hAnsi="Verdana"/>
          <w:sz w:val="16"/>
          <w:szCs w:val="16"/>
        </w:rPr>
      </w:pPr>
      <w:r w:rsidRPr="00DC59FF">
        <w:rPr>
          <w:rFonts w:ascii="Verdana" w:hAnsi="Verdana"/>
          <w:sz w:val="16"/>
          <w:szCs w:val="16"/>
        </w:rPr>
        <w:t>Standard Maturities (like one month, two month)</w:t>
      </w:r>
    </w:p>
    <w:p w:rsidR="00E460F0" w:rsidRPr="00DC59FF" w:rsidRDefault="00E460F0" w:rsidP="00E460F0">
      <w:pPr>
        <w:pStyle w:val="ListParagraph"/>
        <w:numPr>
          <w:ilvl w:val="0"/>
          <w:numId w:val="2"/>
        </w:numPr>
        <w:ind w:left="1800"/>
        <w:rPr>
          <w:rFonts w:ascii="Verdana" w:hAnsi="Verdana"/>
          <w:sz w:val="16"/>
          <w:szCs w:val="16"/>
        </w:rPr>
      </w:pPr>
      <w:r w:rsidRPr="00DC59FF">
        <w:rPr>
          <w:rFonts w:ascii="Verdana" w:hAnsi="Verdana"/>
          <w:sz w:val="16"/>
          <w:szCs w:val="16"/>
        </w:rPr>
        <w:t>Following Business Day</w:t>
      </w:r>
    </w:p>
    <w:p w:rsidR="00E460F0" w:rsidRPr="00DC59FF" w:rsidRDefault="00E460F0" w:rsidP="00E460F0">
      <w:pPr>
        <w:pStyle w:val="ListParagraph"/>
        <w:numPr>
          <w:ilvl w:val="0"/>
          <w:numId w:val="2"/>
        </w:numPr>
        <w:ind w:left="1800"/>
        <w:rPr>
          <w:rFonts w:ascii="Verdana" w:hAnsi="Verdana"/>
          <w:sz w:val="16"/>
          <w:szCs w:val="16"/>
        </w:rPr>
      </w:pPr>
      <w:r w:rsidRPr="00DC59FF">
        <w:rPr>
          <w:rFonts w:ascii="Verdana" w:hAnsi="Verdana"/>
          <w:sz w:val="16"/>
          <w:szCs w:val="16"/>
        </w:rPr>
        <w:t>Modified Following Business Day (rolling back if rolling forward rolls into next month)</w:t>
      </w:r>
    </w:p>
    <w:p w:rsidR="00E460F0" w:rsidRPr="00DC59FF" w:rsidRDefault="00E460F0" w:rsidP="00E460F0">
      <w:pPr>
        <w:pStyle w:val="ListParagraph"/>
        <w:numPr>
          <w:ilvl w:val="0"/>
          <w:numId w:val="2"/>
        </w:numPr>
        <w:ind w:left="1800"/>
        <w:rPr>
          <w:rFonts w:ascii="Verdana" w:hAnsi="Verdana"/>
          <w:sz w:val="16"/>
          <w:szCs w:val="16"/>
        </w:rPr>
      </w:pPr>
      <w:r w:rsidRPr="00DC59FF">
        <w:rPr>
          <w:rFonts w:ascii="Verdana" w:hAnsi="Verdana"/>
          <w:sz w:val="16"/>
          <w:szCs w:val="16"/>
        </w:rPr>
        <w:t>End-End Rule</w:t>
      </w:r>
    </w:p>
    <w:p w:rsidR="00E460F0" w:rsidRDefault="00E460F0" w:rsidP="00E460F0">
      <w:pPr>
        <w:pStyle w:val="ListParagraph"/>
        <w:ind w:left="1080"/>
        <w:rPr>
          <w:rFonts w:ascii="Verdana" w:hAnsi="Verdana"/>
          <w:sz w:val="20"/>
          <w:szCs w:val="20"/>
        </w:rPr>
      </w:pPr>
    </w:p>
    <w:p w:rsidR="00E460F0" w:rsidRDefault="009E7D39" w:rsidP="00284D80">
      <w:pPr>
        <w:pStyle w:val="ListParagraph"/>
        <w:numPr>
          <w:ilvl w:val="0"/>
          <w:numId w:val="1"/>
        </w:numPr>
        <w:ind w:left="1080"/>
        <w:rPr>
          <w:rFonts w:ascii="Verdana" w:hAnsi="Verdana"/>
          <w:sz w:val="20"/>
          <w:szCs w:val="20"/>
        </w:rPr>
      </w:pPr>
      <w:r>
        <w:rPr>
          <w:rFonts w:ascii="Verdana" w:hAnsi="Verdana"/>
          <w:sz w:val="20"/>
          <w:szCs w:val="20"/>
        </w:rPr>
        <w:t>To determine the fair price of CD (Certificate of Deposite) can be calculated as:</w:t>
      </w:r>
    </w:p>
    <w:p w:rsidR="009E7D39" w:rsidRDefault="009E7D39" w:rsidP="009E7D39">
      <w:pPr>
        <w:pStyle w:val="ListParagraph"/>
        <w:ind w:left="1080"/>
        <w:rPr>
          <w:rFonts w:ascii="Verdana" w:hAnsi="Verdana"/>
          <w:sz w:val="20"/>
          <w:szCs w:val="20"/>
        </w:rPr>
      </w:pPr>
      <w:r>
        <w:rPr>
          <w:rFonts w:ascii="Verdana" w:hAnsi="Verdana"/>
          <w:noProof/>
          <w:sz w:val="20"/>
          <w:szCs w:val="20"/>
          <w:lang w:eastAsia="en-AU"/>
        </w:rPr>
        <w:lastRenderedPageBreak/>
        <w:drawing>
          <wp:inline distT="0" distB="0" distL="0" distR="0" wp14:anchorId="132B2189" wp14:editId="78B252D7">
            <wp:extent cx="1569808" cy="1282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925" cy="1282524"/>
                    </a:xfrm>
                    <a:prstGeom prst="rect">
                      <a:avLst/>
                    </a:prstGeom>
                    <a:noFill/>
                    <a:ln>
                      <a:noFill/>
                    </a:ln>
                  </pic:spPr>
                </pic:pic>
              </a:graphicData>
            </a:graphic>
          </wp:inline>
        </w:drawing>
      </w:r>
    </w:p>
    <w:p w:rsidR="009E7D39" w:rsidRDefault="00AC6D30" w:rsidP="00284D80">
      <w:pPr>
        <w:pStyle w:val="ListParagraph"/>
        <w:numPr>
          <w:ilvl w:val="0"/>
          <w:numId w:val="1"/>
        </w:numPr>
        <w:ind w:left="1080"/>
        <w:rPr>
          <w:rFonts w:ascii="Verdana" w:hAnsi="Verdana"/>
          <w:sz w:val="20"/>
          <w:szCs w:val="20"/>
        </w:rPr>
      </w:pPr>
      <w:r>
        <w:rPr>
          <w:rFonts w:ascii="Verdana" w:hAnsi="Verdana"/>
          <w:sz w:val="20"/>
          <w:szCs w:val="20"/>
        </w:rPr>
        <w:t>T-bill is money-market security issued by a government, paying no interest. It always trades at a discount to its face value, and investors receive a return from the difference between the discounted purchase price and the face value payable at maturity.</w:t>
      </w:r>
    </w:p>
    <w:p w:rsidR="00AC6D30" w:rsidRDefault="00AC6D30" w:rsidP="00AC6D30">
      <w:pPr>
        <w:pStyle w:val="ListParagraph"/>
        <w:ind w:left="1080"/>
        <w:rPr>
          <w:rFonts w:ascii="Verdana" w:hAnsi="Verdana"/>
          <w:sz w:val="20"/>
          <w:szCs w:val="20"/>
        </w:rPr>
      </w:pPr>
      <w:r>
        <w:rPr>
          <w:rFonts w:ascii="Verdana" w:hAnsi="Verdana"/>
          <w:noProof/>
          <w:sz w:val="20"/>
          <w:szCs w:val="20"/>
          <w:lang w:eastAsia="en-AU"/>
        </w:rPr>
        <w:drawing>
          <wp:inline distT="0" distB="0" distL="0" distR="0">
            <wp:extent cx="1561778" cy="8192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1710" cy="819225"/>
                    </a:xfrm>
                    <a:prstGeom prst="rect">
                      <a:avLst/>
                    </a:prstGeom>
                    <a:noFill/>
                    <a:ln>
                      <a:noFill/>
                    </a:ln>
                  </pic:spPr>
                </pic:pic>
              </a:graphicData>
            </a:graphic>
          </wp:inline>
        </w:drawing>
      </w:r>
    </w:p>
    <w:p w:rsidR="00AC6D30" w:rsidRDefault="00B30E93" w:rsidP="00284D80">
      <w:pPr>
        <w:pStyle w:val="ListParagraph"/>
        <w:numPr>
          <w:ilvl w:val="0"/>
          <w:numId w:val="1"/>
        </w:numPr>
        <w:ind w:left="1080"/>
        <w:rPr>
          <w:rFonts w:ascii="Verdana" w:hAnsi="Verdana"/>
          <w:sz w:val="20"/>
          <w:szCs w:val="20"/>
        </w:rPr>
      </w:pPr>
      <w:r>
        <w:rPr>
          <w:rFonts w:ascii="Verdana" w:hAnsi="Verdana"/>
          <w:sz w:val="20"/>
          <w:szCs w:val="20"/>
        </w:rPr>
        <w:t>To calculate average annual return for investors over a period of years, the observation averaged are [1 plus the annual return] for each year and then 1 is subtracted from the geometric average return.</w:t>
      </w:r>
    </w:p>
    <w:p w:rsidR="00B30E93" w:rsidRDefault="00B30E93" w:rsidP="00B30E93">
      <w:pPr>
        <w:pStyle w:val="ListParagraph"/>
        <w:ind w:left="1080"/>
        <w:rPr>
          <w:rFonts w:ascii="Verdana" w:hAnsi="Verdana"/>
          <w:sz w:val="20"/>
          <w:szCs w:val="20"/>
        </w:rPr>
      </w:pPr>
      <w:r>
        <w:rPr>
          <w:rFonts w:ascii="Verdana" w:hAnsi="Verdana"/>
          <w:noProof/>
          <w:sz w:val="20"/>
          <w:szCs w:val="20"/>
          <w:lang w:eastAsia="en-AU"/>
        </w:rPr>
        <w:drawing>
          <wp:inline distT="0" distB="0" distL="0" distR="0">
            <wp:extent cx="2679774" cy="42812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1914" cy="430069"/>
                    </a:xfrm>
                    <a:prstGeom prst="rect">
                      <a:avLst/>
                    </a:prstGeom>
                    <a:noFill/>
                    <a:ln>
                      <a:noFill/>
                    </a:ln>
                  </pic:spPr>
                </pic:pic>
              </a:graphicData>
            </a:graphic>
          </wp:inline>
        </w:drawing>
      </w:r>
    </w:p>
    <w:p w:rsidR="00B30E93" w:rsidRDefault="00D13D34" w:rsidP="00284D80">
      <w:pPr>
        <w:pStyle w:val="ListParagraph"/>
        <w:numPr>
          <w:ilvl w:val="0"/>
          <w:numId w:val="1"/>
        </w:numPr>
        <w:ind w:left="1080"/>
        <w:rPr>
          <w:rFonts w:ascii="Verdana" w:hAnsi="Verdana"/>
          <w:sz w:val="20"/>
          <w:szCs w:val="20"/>
        </w:rPr>
      </w:pPr>
      <w:r>
        <w:rPr>
          <w:rFonts w:ascii="Verdana" w:hAnsi="Verdana"/>
          <w:sz w:val="20"/>
          <w:szCs w:val="20"/>
        </w:rPr>
        <w:t>Most observation lie within a range of one or two standard deviations around mean. Only a small percentage (may be 5%) lie outside this range.</w:t>
      </w:r>
    </w:p>
    <w:p w:rsidR="00D13D34" w:rsidRDefault="0027170F" w:rsidP="00302176">
      <w:pPr>
        <w:pStyle w:val="ListParagraph"/>
        <w:numPr>
          <w:ilvl w:val="0"/>
          <w:numId w:val="1"/>
        </w:numPr>
        <w:ind w:left="1080"/>
        <w:rPr>
          <w:rFonts w:ascii="Verdana" w:hAnsi="Verdana"/>
          <w:sz w:val="20"/>
          <w:szCs w:val="20"/>
        </w:rPr>
      </w:pPr>
      <w:r w:rsidRPr="0027170F">
        <w:rPr>
          <w:rFonts w:ascii="Verdana" w:hAnsi="Verdana"/>
          <w:sz w:val="20"/>
          <w:szCs w:val="20"/>
        </w:rPr>
        <w:t>With a positive skew, the arithmetic mean will be biased upward by the right-hand tail.</w:t>
      </w:r>
    </w:p>
    <w:p w:rsidR="0027170F" w:rsidRDefault="00121D86" w:rsidP="00302176">
      <w:pPr>
        <w:pStyle w:val="ListParagraph"/>
        <w:numPr>
          <w:ilvl w:val="0"/>
          <w:numId w:val="1"/>
        </w:numPr>
        <w:ind w:left="1080"/>
        <w:rPr>
          <w:rFonts w:ascii="Verdana" w:hAnsi="Verdana"/>
          <w:sz w:val="20"/>
          <w:szCs w:val="20"/>
        </w:rPr>
      </w:pPr>
      <w:r>
        <w:rPr>
          <w:rFonts w:ascii="Verdana" w:hAnsi="Verdana"/>
          <w:sz w:val="20"/>
          <w:szCs w:val="20"/>
        </w:rPr>
        <w:t>If daily volatility is 1% and there are 256 working days in a year, then annual volatility is sqrt(256)*1%=16%</w:t>
      </w:r>
      <w:r w:rsidR="00302176">
        <w:rPr>
          <w:rFonts w:ascii="Verdana" w:hAnsi="Verdana"/>
          <w:sz w:val="20"/>
          <w:szCs w:val="20"/>
        </w:rPr>
        <w:t>.</w:t>
      </w:r>
    </w:p>
    <w:p w:rsidR="00302176" w:rsidRPr="00284D80" w:rsidRDefault="00302176" w:rsidP="00302176">
      <w:pPr>
        <w:pStyle w:val="ListParagraph"/>
        <w:numPr>
          <w:ilvl w:val="0"/>
          <w:numId w:val="1"/>
        </w:numPr>
        <w:ind w:left="1080"/>
        <w:rPr>
          <w:rFonts w:ascii="Verdana" w:hAnsi="Verdana"/>
          <w:sz w:val="20"/>
          <w:szCs w:val="20"/>
        </w:rPr>
      </w:pPr>
      <w:bookmarkStart w:id="0" w:name="_GoBack"/>
      <w:bookmarkEnd w:id="0"/>
    </w:p>
    <w:p w:rsidR="00E460F0" w:rsidRPr="00E460F0" w:rsidRDefault="00E460F0" w:rsidP="00E460F0">
      <w:pPr>
        <w:pStyle w:val="ListParagraph"/>
        <w:rPr>
          <w:rFonts w:ascii="Verdana" w:hAnsi="Verdana"/>
          <w:sz w:val="18"/>
          <w:szCs w:val="18"/>
        </w:rPr>
      </w:pPr>
    </w:p>
    <w:sectPr w:rsidR="00E460F0" w:rsidRPr="00E46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0704E"/>
    <w:multiLevelType w:val="hybridMultilevel"/>
    <w:tmpl w:val="3FF4FD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2837775C"/>
    <w:multiLevelType w:val="hybridMultilevel"/>
    <w:tmpl w:val="40F686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9C"/>
    <w:rsid w:val="00121D86"/>
    <w:rsid w:val="00221A67"/>
    <w:rsid w:val="0027170F"/>
    <w:rsid w:val="00284D80"/>
    <w:rsid w:val="002C2C9C"/>
    <w:rsid w:val="00302176"/>
    <w:rsid w:val="003B5BBB"/>
    <w:rsid w:val="003D7E7C"/>
    <w:rsid w:val="004D648A"/>
    <w:rsid w:val="00637BC4"/>
    <w:rsid w:val="0065786D"/>
    <w:rsid w:val="00830F39"/>
    <w:rsid w:val="00922EA1"/>
    <w:rsid w:val="009A17C7"/>
    <w:rsid w:val="009A7371"/>
    <w:rsid w:val="009E7D39"/>
    <w:rsid w:val="00AC6D30"/>
    <w:rsid w:val="00B30E93"/>
    <w:rsid w:val="00CE08E6"/>
    <w:rsid w:val="00D13D34"/>
    <w:rsid w:val="00DC59FF"/>
    <w:rsid w:val="00E460F0"/>
    <w:rsid w:val="00F06D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C9C"/>
    <w:pPr>
      <w:ind w:left="720"/>
      <w:contextualSpacing/>
    </w:pPr>
  </w:style>
  <w:style w:type="paragraph" w:styleId="BalloonText">
    <w:name w:val="Balloon Text"/>
    <w:basedOn w:val="Normal"/>
    <w:link w:val="BalloonTextChar"/>
    <w:uiPriority w:val="99"/>
    <w:semiHidden/>
    <w:unhideWhenUsed/>
    <w:rsid w:val="003B5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C9C"/>
    <w:pPr>
      <w:ind w:left="720"/>
      <w:contextualSpacing/>
    </w:pPr>
  </w:style>
  <w:style w:type="paragraph" w:styleId="BalloonText">
    <w:name w:val="Balloon Text"/>
    <w:basedOn w:val="Normal"/>
    <w:link w:val="BalloonTextChar"/>
    <w:uiPriority w:val="99"/>
    <w:semiHidden/>
    <w:unhideWhenUsed/>
    <w:rsid w:val="003B5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ANZ</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Shashank</dc:creator>
  <cp:keywords/>
  <dc:description/>
  <cp:lastModifiedBy>Agrawal, Shashank</cp:lastModifiedBy>
  <cp:revision>15</cp:revision>
  <dcterms:created xsi:type="dcterms:W3CDTF">2015-04-23T03:47:00Z</dcterms:created>
  <dcterms:modified xsi:type="dcterms:W3CDTF">2015-04-27T11:11:00Z</dcterms:modified>
</cp:coreProperties>
</file>