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22584B" w14:textId="77777777" w:rsidR="00335355" w:rsidRDefault="00000000">
      <w:pPr>
        <w:pStyle w:val="Heading1"/>
      </w:pPr>
      <w:r>
        <w:t>Transformer Thermal and Degradation Modeling Plan</w:t>
      </w:r>
    </w:p>
    <w:p w14:paraId="17A218C1" w14:textId="38E155D8" w:rsidR="00335355" w:rsidRDefault="00000000">
      <w:r>
        <w:t>This document outlines the strategy for integrating transformer thermal constraints and insulation degradation. The models are based on industry standards IEEE C57.91 (Thermal Dynamics) and incorporate harmonic loss adjustments per IEEE C57.110.</w:t>
      </w:r>
    </w:p>
    <w:p w14:paraId="409C5FFB" w14:textId="77777777" w:rsidR="00335355" w:rsidRDefault="00000000">
      <w:pPr>
        <w:pStyle w:val="Heading2"/>
      </w:pPr>
      <w:r>
        <w:t>1. Thermal Dynamics (IEEE C57.91)</w:t>
      </w:r>
    </w:p>
    <w:p w14:paraId="4A1AFF0B" w14:textId="77777777" w:rsidR="00335355" w:rsidRDefault="00000000">
      <w:r>
        <w:t>The thermal model tracks how electrical load (</w:t>
      </w:r>
      <m:oMath>
        <m:box>
          <m:boxPr>
            <m:ctrlPr>
              <w:rPr>
                <w:rFonts w:ascii="Cambria Math" w:hAnsi="Cambria Math"/>
              </w:rPr>
            </m:ctrlPr>
          </m:boxPr>
          <m:e>
            <m:r>
              <w:rPr>
                <w:rFonts w:ascii="Cambria Math" w:hAnsi="Cambria Math"/>
              </w:rPr>
              <m:t>K</m:t>
            </m:r>
          </m:e>
        </m:box>
      </m:oMath>
      <w:r>
        <w:t>) and ambient temperature (</w:t>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r>
                  <w:rPr>
                    <w:rFonts w:ascii="Cambria Math" w:hAnsi="Cambria Math"/>
                  </w:rPr>
                  <m:t>A</m:t>
                </m:r>
              </m:sub>
            </m:sSub>
          </m:e>
        </m:box>
      </m:oMath>
      <w:r>
        <w:t>) affect the transformer's top-oil and winding hot-spot temperatures over time.</w:t>
      </w:r>
    </w:p>
    <w:p w14:paraId="08B72131" w14:textId="77777777" w:rsidR="00335355" w:rsidRDefault="00000000">
      <w:pPr>
        <w:pStyle w:val="Heading3"/>
      </w:pPr>
      <w:r>
        <w:t>Top-Oil Temperature Dynamics</w:t>
      </w:r>
    </w:p>
    <w:p w14:paraId="74810042" w14:textId="77777777" w:rsidR="00335355" w:rsidRDefault="00000000">
      <w:r>
        <w:t>The top-oil temperature responds slowly to load changes due to high thermal mass. Its dynamics are governed by a first-order differential equation:</w:t>
      </w:r>
    </w:p>
    <w:p w14:paraId="13F3CB4E" w14:textId="77777777" w:rsidR="00335355"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τ</m:t>
                  </m:r>
                </m:e>
                <m:sub>
                  <m:box>
                    <m:boxPr>
                      <m:ctrlPr>
                        <w:rPr>
                          <w:rFonts w:ascii="Cambria Math" w:hAnsi="Cambria Math"/>
                        </w:rPr>
                      </m:ctrlPr>
                    </m:boxPr>
                    <m:e>
                      <m:r>
                        <w:rPr>
                          <w:rFonts w:ascii="Cambria Math" w:hAnsi="Cambria Math"/>
                        </w:rPr>
                        <m:t>TO</m:t>
                      </m:r>
                    </m:e>
                  </m:box>
                </m:sub>
              </m:sSub>
              <m:f>
                <m:fPr>
                  <m:ctrlPr>
                    <w:rPr>
                      <w:rFonts w:ascii="Cambria Math" w:hAnsi="Cambria Math"/>
                    </w:rPr>
                  </m:ctrlPr>
                </m:fPr>
                <m:num>
                  <m:box>
                    <m:boxPr>
                      <m:ctrlPr>
                        <w:rPr>
                          <w:rFonts w:ascii="Cambria Math" w:hAnsi="Cambria Math"/>
                        </w:rPr>
                      </m:ctrlPr>
                    </m:boxPr>
                    <m:e>
                      <m:r>
                        <w:rPr>
                          <w:rFonts w:ascii="Cambria Math" w:hAnsi="Cambria Math"/>
                        </w:rPr>
                        <m:t>dΔ</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TO</m:t>
                              </m:r>
                            </m:e>
                          </m:box>
                        </m:sub>
                      </m:sSub>
                    </m:e>
                  </m:box>
                </m:num>
                <m:den>
                  <m:box>
                    <m:boxPr>
                      <m:ctrlPr>
                        <w:rPr>
                          <w:rFonts w:ascii="Cambria Math" w:hAnsi="Cambria Math"/>
                        </w:rPr>
                      </m:ctrlPr>
                    </m:boxPr>
                    <m:e>
                      <m:r>
                        <w:rPr>
                          <w:rFonts w:ascii="Cambria Math" w:hAnsi="Cambria Math"/>
                        </w:rPr>
                        <m:t>dt</m:t>
                      </m:r>
                    </m:e>
                  </m:box>
                </m:den>
              </m:f>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TO</m:t>
                      </m:r>
                      <m:r>
                        <m:rPr>
                          <m:sty m:val="p"/>
                        </m:rPr>
                        <w:rPr>
                          <w:rFonts w:ascii="Cambria Math" w:hAnsi="Cambria Math"/>
                        </w:rPr>
                        <m:t>,</m:t>
                      </m:r>
                      <m:r>
                        <w:rPr>
                          <w:rFonts w:ascii="Cambria Math" w:hAnsi="Cambria Math"/>
                        </w:rPr>
                        <m:t>U</m:t>
                      </m:r>
                    </m:e>
                  </m:box>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TO</m:t>
                      </m:r>
                    </m:e>
                  </m:box>
                </m:sub>
              </m:sSub>
            </m:e>
          </m:box>
        </m:oMath>
      </m:oMathPara>
    </w:p>
    <w:p w14:paraId="0ACB3566" w14:textId="77777777" w:rsidR="00335355" w:rsidRDefault="00000000">
      <w:r>
        <w:t xml:space="preserve">The </w:t>
      </w:r>
      <w:r>
        <w:rPr>
          <w:b/>
        </w:rPr>
        <w:t>ultimate top-oil temperature rise</w:t>
      </w:r>
      <w:r>
        <w:t xml:space="preserve"> (</w:t>
      </w:r>
      <m:oMath>
        <m:box>
          <m:boxPr>
            <m:ctrlPr>
              <w:rPr>
                <w:rFonts w:ascii="Cambria Math" w:hAnsi="Cambria Math"/>
              </w:rPr>
            </m:ctrlPr>
          </m:boxPr>
          <m:e>
            <m:r>
              <w:rPr>
                <w:rFonts w:ascii="Cambria Math" w:hAnsi="Cambria Math"/>
              </w:rPr>
              <m:t>Δ</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TO</m:t>
                    </m:r>
                    <m:r>
                      <m:rPr>
                        <m:sty m:val="p"/>
                      </m:rPr>
                      <w:rPr>
                        <w:rFonts w:ascii="Cambria Math" w:hAnsi="Cambria Math"/>
                      </w:rPr>
                      <m:t>,</m:t>
                    </m:r>
                    <m:r>
                      <w:rPr>
                        <w:rFonts w:ascii="Cambria Math" w:hAnsi="Cambria Math"/>
                      </w:rPr>
                      <m:t>U</m:t>
                    </m:r>
                  </m:e>
                </m:box>
              </m:sub>
            </m:sSub>
          </m:e>
        </m:box>
      </m:oMath>
      <w:r>
        <w:t>) for a given load step is:</w:t>
      </w:r>
    </w:p>
    <w:p w14:paraId="30CC372A" w14:textId="77777777" w:rsidR="00335355" w:rsidRDefault="00000000">
      <m:oMathPara>
        <m:oMath>
          <m:box>
            <m:boxPr>
              <m:ctrlPr>
                <w:rPr>
                  <w:rFonts w:ascii="Cambria Math" w:hAnsi="Cambria Math"/>
                </w:rPr>
              </m:ctrlPr>
            </m:boxPr>
            <m:e>
              <m:r>
                <w:rPr>
                  <w:rFonts w:ascii="Cambria Math" w:hAnsi="Cambria Math"/>
                </w:rPr>
                <m:t>Δ</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TO</m:t>
                      </m:r>
                      <m:r>
                        <m:rPr>
                          <m:sty m:val="p"/>
                        </m:rPr>
                        <w:rPr>
                          <w:rFonts w:ascii="Cambria Math" w:hAnsi="Cambria Math"/>
                        </w:rPr>
                        <m:t>,</m:t>
                      </m:r>
                      <m:r>
                        <w:rPr>
                          <w:rFonts w:ascii="Cambria Math" w:hAnsi="Cambria Math"/>
                        </w:rPr>
                        <m:t>U</m:t>
                      </m:r>
                    </m:e>
                  </m:box>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TO</m:t>
                      </m:r>
                      <m:r>
                        <m:rPr>
                          <m:sty m:val="p"/>
                        </m:rPr>
                        <w:rPr>
                          <w:rFonts w:ascii="Cambria Math" w:hAnsi="Cambria Math"/>
                        </w:rPr>
                        <m:t>,</m:t>
                      </m:r>
                      <m:r>
                        <w:rPr>
                          <w:rFonts w:ascii="Cambria Math" w:hAnsi="Cambria Math"/>
                        </w:rPr>
                        <m:t>R</m:t>
                      </m:r>
                    </m:e>
                  </m:box>
                </m:sub>
              </m:sSub>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r>
                                        <w:rPr>
                                          <w:rFonts w:ascii="Cambria Math" w:hAnsi="Cambria Math"/>
                                        </w:rPr>
                                        <m:t>R</m:t>
                                      </m:r>
                                      <m:r>
                                        <m:rPr>
                                          <m:sty m:val="p"/>
                                        </m:rPr>
                                        <w:rPr>
                                          <w:rFonts w:ascii="Cambria Math" w:hAnsi="Cambria Math"/>
                                        </w:rPr>
                                        <m:t>+1</m:t>
                                      </m:r>
                                    </m:e>
                                  </m:box>
                                </m:num>
                                <m:den>
                                  <m:box>
                                    <m:boxPr>
                                      <m:ctrlPr>
                                        <w:rPr>
                                          <w:rFonts w:ascii="Cambria Math" w:hAnsi="Cambria Math"/>
                                        </w:rPr>
                                      </m:ctrlPr>
                                    </m:boxPr>
                                    <m:e>
                                      <m:r>
                                        <w:rPr>
                                          <w:rFonts w:ascii="Cambria Math" w:hAnsi="Cambria Math"/>
                                        </w:rPr>
                                        <m:t>R</m:t>
                                      </m:r>
                                      <m:r>
                                        <m:rPr>
                                          <m:sty m:val="p"/>
                                        </m:rPr>
                                        <w:rPr>
                                          <w:rFonts w:ascii="Cambria Math" w:hAnsi="Cambria Math"/>
                                        </w:rPr>
                                        <m:t>+1</m:t>
                                      </m:r>
                                    </m:e>
                                  </m:box>
                                </m:den>
                              </m:f>
                            </m:e>
                          </m:box>
                        </m:e>
                      </m:d>
                    </m:e>
                  </m:box>
                </m:e>
                <m:sup>
                  <m:r>
                    <w:rPr>
                      <w:rFonts w:ascii="Cambria Math" w:hAnsi="Cambria Math"/>
                    </w:rPr>
                    <m:t>n</m:t>
                  </m:r>
                </m:sup>
              </m:sSup>
            </m:e>
          </m:box>
        </m:oMath>
      </m:oMathPara>
    </w:p>
    <w:p w14:paraId="256D0713" w14:textId="77777777" w:rsidR="00335355" w:rsidRDefault="00000000">
      <w:r>
        <w:rPr>
          <w:i/>
        </w:rPr>
        <w:t>Integration Note:</w:t>
      </w:r>
      <w:r>
        <w:t xml:space="preserve"> To account for harmonic currents from data center equipment, the Harmonic Loss Factor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HL</m:t>
                    </m:r>
                  </m:e>
                </m:box>
              </m:sub>
            </m:sSub>
          </m:e>
        </m:box>
      </m:oMath>
      <w:r>
        <w:t xml:space="preserve">) from IEEE C57.110 should be multiplied by </w:t>
      </w:r>
      <m:oMath>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oMath>
      <w:r>
        <w:t xml:space="preserve"> to capture additional resistive heating.</w:t>
      </w:r>
    </w:p>
    <w:p w14:paraId="62B51BF2" w14:textId="77777777" w:rsidR="00335355" w:rsidRDefault="00000000">
      <w:pPr>
        <w:pStyle w:val="Heading3"/>
      </w:pPr>
      <w:r>
        <w:t>Winding Hot-Spot Temperature Dynamics</w:t>
      </w:r>
    </w:p>
    <w:p w14:paraId="58FE0E05" w14:textId="77777777" w:rsidR="00335355" w:rsidRDefault="00000000">
      <w:r>
        <w:t>The winding hot-spot is the critical metric for insulation degradation. It reacts much faster than the oil temperature.</w:t>
      </w:r>
    </w:p>
    <w:p w14:paraId="256CC05E" w14:textId="77777777" w:rsidR="00335355"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τ</m:t>
                  </m:r>
                </m:e>
                <m:sub>
                  <m:box>
                    <m:boxPr>
                      <m:ctrlPr>
                        <w:rPr>
                          <w:rFonts w:ascii="Cambria Math" w:hAnsi="Cambria Math"/>
                        </w:rPr>
                      </m:ctrlPr>
                    </m:boxPr>
                    <m:e>
                      <m:r>
                        <w:rPr>
                          <w:rFonts w:ascii="Cambria Math" w:hAnsi="Cambria Math"/>
                        </w:rPr>
                        <m:t>H</m:t>
                      </m:r>
                    </m:e>
                  </m:box>
                </m:sub>
              </m:sSub>
              <m:f>
                <m:fPr>
                  <m:ctrlPr>
                    <w:rPr>
                      <w:rFonts w:ascii="Cambria Math" w:hAnsi="Cambria Math"/>
                    </w:rPr>
                  </m:ctrlPr>
                </m:fPr>
                <m:num>
                  <m:box>
                    <m:boxPr>
                      <m:ctrlPr>
                        <w:rPr>
                          <w:rFonts w:ascii="Cambria Math" w:hAnsi="Cambria Math"/>
                        </w:rPr>
                      </m:ctrlPr>
                    </m:boxPr>
                    <m:e>
                      <m:r>
                        <w:rPr>
                          <w:rFonts w:ascii="Cambria Math" w:hAnsi="Cambria Math"/>
                        </w:rPr>
                        <m:t>dΔ</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H</m:t>
                              </m:r>
                            </m:e>
                          </m:box>
                        </m:sub>
                      </m:sSub>
                    </m:e>
                  </m:box>
                </m:num>
                <m:den>
                  <m:box>
                    <m:boxPr>
                      <m:ctrlPr>
                        <w:rPr>
                          <w:rFonts w:ascii="Cambria Math" w:hAnsi="Cambria Math"/>
                        </w:rPr>
                      </m:ctrlPr>
                    </m:boxPr>
                    <m:e>
                      <m:r>
                        <w:rPr>
                          <w:rFonts w:ascii="Cambria Math" w:hAnsi="Cambria Math"/>
                        </w:rPr>
                        <m:t>dt</m:t>
                      </m:r>
                    </m:e>
                  </m:box>
                </m:den>
              </m:f>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U</m:t>
                      </m:r>
                    </m:e>
                  </m:box>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H</m:t>
                      </m:r>
                    </m:e>
                  </m:box>
                </m:sub>
              </m:sSub>
            </m:e>
          </m:box>
        </m:oMath>
      </m:oMathPara>
    </w:p>
    <w:p w14:paraId="581C94DD" w14:textId="77777777" w:rsidR="00335355" w:rsidRDefault="00000000">
      <w:r>
        <w:t xml:space="preserve">The </w:t>
      </w:r>
      <w:r>
        <w:rPr>
          <w:b/>
        </w:rPr>
        <w:t>ultimate hot-spot temperature rise</w:t>
      </w:r>
      <w:r>
        <w:t xml:space="preserve"> (</w:t>
      </w:r>
      <m:oMath>
        <m:box>
          <m:boxPr>
            <m:ctrlPr>
              <w:rPr>
                <w:rFonts w:ascii="Cambria Math" w:hAnsi="Cambria Math"/>
              </w:rPr>
            </m:ctrlPr>
          </m:boxPr>
          <m:e>
            <m:r>
              <w:rPr>
                <w:rFonts w:ascii="Cambria Math" w:hAnsi="Cambria Math"/>
              </w:rPr>
              <m:t>Δ</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U</m:t>
                    </m:r>
                  </m:e>
                </m:box>
              </m:sub>
            </m:sSub>
          </m:e>
        </m:box>
      </m:oMath>
      <w:r>
        <w:t>) over the top-oil for a given load is:</w:t>
      </w:r>
    </w:p>
    <w:p w14:paraId="5B87BD66" w14:textId="77777777" w:rsidR="00335355" w:rsidRDefault="00000000">
      <m:oMathPara>
        <m:oMath>
          <m:box>
            <m:boxPr>
              <m:ctrlPr>
                <w:rPr>
                  <w:rFonts w:ascii="Cambria Math" w:hAnsi="Cambria Math"/>
                </w:rPr>
              </m:ctrlPr>
            </m:boxPr>
            <m:e>
              <m:r>
                <w:rPr>
                  <w:rFonts w:ascii="Cambria Math" w:hAnsi="Cambria Math"/>
                </w:rPr>
                <m:t>Δ</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U</m:t>
                      </m:r>
                    </m:e>
                  </m:box>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R</m:t>
                      </m:r>
                    </m:e>
                  </m:box>
                </m:sub>
              </m:sSub>
              <m:sSup>
                <m:sSupPr>
                  <m:ctrlPr>
                    <w:rPr>
                      <w:rFonts w:ascii="Cambria Math" w:hAnsi="Cambria Math"/>
                    </w:rPr>
                  </m:ctrlPr>
                </m:sSupPr>
                <m:e>
                  <m:r>
                    <w:rPr>
                      <w:rFonts w:ascii="Cambria Math" w:hAnsi="Cambria Math"/>
                    </w:rPr>
                    <m:t>K</m:t>
                  </m:r>
                </m:e>
                <m:sup>
                  <m:box>
                    <m:boxPr>
                      <m:ctrlPr>
                        <w:rPr>
                          <w:rFonts w:ascii="Cambria Math" w:hAnsi="Cambria Math"/>
                        </w:rPr>
                      </m:ctrlPr>
                    </m:boxPr>
                    <m:e>
                      <m:r>
                        <m:rPr>
                          <m:sty m:val="p"/>
                        </m:rPr>
                        <w:rPr>
                          <w:rFonts w:ascii="Cambria Math" w:hAnsi="Cambria Math"/>
                        </w:rPr>
                        <m:t>2</m:t>
                      </m:r>
                      <m:r>
                        <w:rPr>
                          <w:rFonts w:ascii="Cambria Math" w:hAnsi="Cambria Math"/>
                        </w:rPr>
                        <m:t>m</m:t>
                      </m:r>
                    </m:e>
                  </m:box>
                </m:sup>
              </m:sSup>
            </m:e>
          </m:box>
        </m:oMath>
      </m:oMathPara>
    </w:p>
    <w:p w14:paraId="0179C71A" w14:textId="77777777" w:rsidR="00335355" w:rsidRDefault="00000000">
      <w:pPr>
        <w:pStyle w:val="Heading3"/>
      </w:pPr>
      <w:r>
        <w:t>Total Absolute Temperatures</w:t>
      </w:r>
    </w:p>
    <w:p w14:paraId="37D7EA24" w14:textId="77777777" w:rsidR="00335355" w:rsidRDefault="00000000">
      <w:r>
        <w:t>To calculate absolute temperatures used for the degradation model and constraints:</w:t>
      </w:r>
    </w:p>
    <w:p w14:paraId="713E3BAC" w14:textId="77777777" w:rsidR="00335355" w:rsidRDefault="00000000">
      <w:pPr>
        <w:pStyle w:val="ListBullet"/>
      </w:pPr>
      <w:r>
        <w:rPr>
          <w:b/>
        </w:rPr>
        <w:t>Absolute Top-Oil Temperature:</w:t>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TO</m:t>
                    </m:r>
                  </m:e>
                </m:box>
              </m:sub>
            </m:sSub>
            <m:r>
              <m:rPr>
                <m:sty m:val="p"/>
              </m:rPr>
              <w:rPr>
                <w:rFonts w:ascii="Cambria Math" w:hAnsi="Cambria Math"/>
              </w:rPr>
              <m:t>=</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A</m:t>
                    </m:r>
                  </m:e>
                </m:box>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TO</m:t>
                    </m:r>
                  </m:e>
                </m:box>
              </m:sub>
            </m:sSub>
          </m:e>
        </m:box>
      </m:oMath>
    </w:p>
    <w:p w14:paraId="7B841D8E" w14:textId="77777777" w:rsidR="00335355" w:rsidRDefault="00000000">
      <w:pPr>
        <w:pStyle w:val="ListBullet"/>
      </w:pPr>
      <w:r>
        <w:rPr>
          <w:b/>
        </w:rPr>
        <w:t>Absolute Hot-Spot Temperature:</w:t>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H</m:t>
                    </m:r>
                  </m:e>
                </m:box>
              </m:sub>
            </m:sSub>
            <m:r>
              <m:rPr>
                <m:sty m:val="p"/>
              </m:rPr>
              <w:rPr>
                <w:rFonts w:ascii="Cambria Math" w:hAnsi="Cambria Math"/>
              </w:rPr>
              <m:t>=</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TO</m:t>
                    </m:r>
                  </m:e>
                </m:box>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box>
                  <m:boxPr>
                    <m:ctrlPr>
                      <w:rPr>
                        <w:rFonts w:ascii="Cambria Math" w:hAnsi="Cambria Math"/>
                      </w:rPr>
                    </m:ctrlPr>
                  </m:boxPr>
                  <m:e>
                    <m:r>
                      <w:rPr>
                        <w:rFonts w:ascii="Cambria Math" w:hAnsi="Cambria Math"/>
                      </w:rPr>
                      <m:t>H</m:t>
                    </m:r>
                  </m:e>
                </m:box>
              </m:sub>
            </m:sSub>
          </m:e>
        </m:box>
      </m:oMath>
    </w:p>
    <w:p w14:paraId="166EDC54" w14:textId="77777777" w:rsidR="00335355" w:rsidRDefault="00335355">
      <w:pPr>
        <w:pBdr>
          <w:bottom w:val="single" w:sz="6" w:space="1" w:color="808080"/>
        </w:pBdr>
      </w:pPr>
    </w:p>
    <w:p w14:paraId="36075337" w14:textId="77777777" w:rsidR="00335355" w:rsidRDefault="00000000">
      <w:pPr>
        <w:pStyle w:val="Heading2"/>
      </w:pPr>
      <w:r>
        <w:t>2. Transformer Degradation and Loss of Life (LoL)</w:t>
      </w:r>
    </w:p>
    <w:p w14:paraId="52103082" w14:textId="77777777" w:rsidR="00335355" w:rsidRDefault="00000000">
      <w:r>
        <w:t>Degradation of the transformer's paper insulation is evaluated using the Arrhenius equation. This calculates how much faster the insulation ages when the hot-spot temperature exceeds the 110°C baseline.</w:t>
      </w:r>
    </w:p>
    <w:p w14:paraId="5221C8A9" w14:textId="77777777" w:rsidR="00335355" w:rsidRDefault="00000000">
      <w:pPr>
        <w:pStyle w:val="Heading3"/>
      </w:pPr>
      <w:r>
        <w:t>Aging Acceleration Factor (</w:t>
      </w:r>
      <m:oMath>
        <m:box>
          <m:boxPr>
            <m:ctrlPr>
              <w:rPr>
                <w:rFonts w:ascii="Cambria Math" w:hAnsi="Cambria Math"/>
              </w:rPr>
            </m:ctrlPr>
          </m:boxPr>
          <m:e>
            <m:sSub>
              <m:sSubPr>
                <m:ctrlPr>
                  <w:rPr>
                    <w:rFonts w:ascii="Cambria Math" w:hAnsi="Cambria Math"/>
                  </w:rPr>
                </m:ctrlPr>
              </m:sSubPr>
              <m:e>
                <m:r>
                  <m:rPr>
                    <m:sty m:val="bi"/>
                  </m:rPr>
                  <w:rPr>
                    <w:rFonts w:ascii="Cambria Math" w:hAnsi="Cambria Math"/>
                  </w:rPr>
                  <m:t>F</m:t>
                </m:r>
              </m:e>
              <m:sub>
                <m:box>
                  <m:boxPr>
                    <m:ctrlPr>
                      <w:rPr>
                        <w:rFonts w:ascii="Cambria Math" w:hAnsi="Cambria Math"/>
                      </w:rPr>
                    </m:ctrlPr>
                  </m:boxPr>
                  <m:e>
                    <m:r>
                      <m:rPr>
                        <m:sty m:val="bi"/>
                      </m:rPr>
                      <w:rPr>
                        <w:rFonts w:ascii="Cambria Math" w:hAnsi="Cambria Math"/>
                      </w:rPr>
                      <m:t>AA</m:t>
                    </m:r>
                  </m:e>
                </m:box>
              </m:sub>
            </m:sSub>
          </m:e>
        </m:box>
      </m:oMath>
      <w:r>
        <w:t>)</w:t>
      </w:r>
    </w:p>
    <w:p w14:paraId="751BE8A3" w14:textId="77777777" w:rsidR="00335355" w:rsidRDefault="00000000">
      <w:r>
        <w:t>For standard thermally upgraded paper, the aging rate is calculated as:</w:t>
      </w:r>
    </w:p>
    <w:p w14:paraId="4AB8AEF9" w14:textId="77777777" w:rsidR="00335355"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AA</m:t>
                      </m:r>
                    </m:e>
                  </m:box>
                </m:sub>
              </m:sSub>
              <m:r>
                <m:rPr>
                  <m:sty m:val="p"/>
                </m:rPr>
                <w:rPr>
                  <w:rFonts w:ascii="Cambria Math" w:hAnsi="Cambria Math"/>
                </w:rPr>
                <m:t>=exp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15000</m:t>
                                  </m:r>
                                </m:e>
                              </m:box>
                            </m:num>
                            <m:den>
                              <m:box>
                                <m:boxPr>
                                  <m:ctrlPr>
                                    <w:rPr>
                                      <w:rFonts w:ascii="Cambria Math" w:hAnsi="Cambria Math"/>
                                    </w:rPr>
                                  </m:ctrlPr>
                                </m:boxPr>
                                <m:e>
                                  <m:r>
                                    <m:rPr>
                                      <m:sty m:val="p"/>
                                    </m:rPr>
                                    <w:rPr>
                                      <w:rFonts w:ascii="Cambria Math" w:hAnsi="Cambria Math"/>
                                    </w:rPr>
                                    <m:t>383</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15000</m:t>
                                  </m:r>
                                </m:e>
                              </m:box>
                            </m:num>
                            <m:den>
                              <m:box>
                                <m:boxPr>
                                  <m:ctrlPr>
                                    <w:rPr>
                                      <w:rFonts w:ascii="Cambria Math" w:hAnsi="Cambria Math"/>
                                    </w:rPr>
                                  </m:ctrlPr>
                                </m:boxPr>
                                <m:e>
                                  <m:sSub>
                                    <m:sSubPr>
                                      <m:ctrlPr>
                                        <w:rPr>
                                          <w:rFonts w:ascii="Cambria Math" w:hAnsi="Cambria Math"/>
                                        </w:rPr>
                                      </m:ctrlPr>
                                    </m:sSubPr>
                                    <m:e>
                                      <m:r>
                                        <w:rPr>
                                          <w:rFonts w:ascii="Cambria Math" w:hAnsi="Cambria Math"/>
                                        </w:rPr>
                                        <m:t>Θ</m:t>
                                      </m:r>
                                    </m:e>
                                    <m:sub>
                                      <m:r>
                                        <w:rPr>
                                          <w:rFonts w:ascii="Cambria Math" w:hAnsi="Cambria Math"/>
                                        </w:rPr>
                                        <m:t>H</m:t>
                                      </m:r>
                                    </m:sub>
                                  </m:sSub>
                                  <m:r>
                                    <m:rPr>
                                      <m:sty m:val="p"/>
                                    </m:rPr>
                                    <w:rPr>
                                      <w:rFonts w:ascii="Cambria Math" w:hAnsi="Cambria Math"/>
                                    </w:rPr>
                                    <m:t>+273</m:t>
                                  </m:r>
                                </m:e>
                              </m:box>
                            </m:den>
                          </m:f>
                        </m:e>
                      </m:box>
                    </m:e>
                  </m:d>
                </m:e>
              </m:box>
            </m:e>
          </m:box>
        </m:oMath>
      </m:oMathPara>
    </w:p>
    <w:p w14:paraId="2A1D66BE" w14:textId="77777777" w:rsidR="00335355" w:rsidRDefault="00000000">
      <w:pPr>
        <w:pStyle w:val="Heading3"/>
      </w:pPr>
      <w:r>
        <w:t>Calculating Loss of Life</w:t>
      </w:r>
    </w:p>
    <w:p w14:paraId="44FB4A29" w14:textId="77777777" w:rsidR="00335355" w:rsidRDefault="00000000">
      <w:r>
        <w:t xml:space="preserve">To find the cumulative degradation over the scheduling horizon, integrate the Aging Acceleration Factor over time. The </w:t>
      </w:r>
      <w:r>
        <w:rPr>
          <w:b/>
        </w:rPr>
        <w:t>Equivalent Aging (in hours)</w:t>
      </w:r>
      <w:r>
        <w:t xml:space="preserve"> for a time horizon is:</w:t>
      </w:r>
    </w:p>
    <w:p w14:paraId="7758D724" w14:textId="77777777" w:rsidR="00335355" w:rsidRDefault="00000000">
      <m:oMathPara>
        <m:oMath>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EQ</m:t>
                      </m:r>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t</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AA</m:t>
                          </m:r>
                          <m:r>
                            <m:rPr>
                              <m:sty m:val="p"/>
                            </m:rPr>
                            <w:rPr>
                              <w:rFonts w:ascii="Cambria Math" w:hAnsi="Cambria Math"/>
                            </w:rPr>
                            <m:t>,</m:t>
                          </m:r>
                          <m:r>
                            <w:rPr>
                              <w:rFonts w:ascii="Cambria Math" w:hAnsi="Cambria Math"/>
                            </w:rPr>
                            <m:t>t</m:t>
                          </m:r>
                        </m:e>
                      </m:box>
                    </m:sub>
                  </m:sSub>
                  <m:r>
                    <w:rPr>
                      <w:rFonts w:ascii="Cambria Math" w:hAnsi="Cambria Math"/>
                    </w:rPr>
                    <m:t>×Δt</m:t>
                  </m:r>
                </m:e>
              </m:nary>
            </m:e>
          </m:box>
        </m:oMath>
      </m:oMathPara>
    </w:p>
    <w:p w14:paraId="26426E86" w14:textId="77777777" w:rsidR="00335355" w:rsidRDefault="00000000">
      <w:r>
        <w:t xml:space="preserve">Expressed as a </w:t>
      </w:r>
      <w:r>
        <w:rPr>
          <w:b/>
        </w:rPr>
        <w:t>Percent Loss of Life (% LoL)</w:t>
      </w:r>
      <w:r>
        <w:t>:</w:t>
      </w:r>
    </w:p>
    <w:p w14:paraId="5D96DA7A" w14:textId="77777777" w:rsidR="00335355" w:rsidRDefault="00000000">
      <m:oMathPara>
        <m:oMath>
          <m:box>
            <m:boxPr>
              <m:ctrlPr>
                <w:rPr>
                  <w:rFonts w:ascii="Cambria Math" w:hAnsi="Cambria Math"/>
                </w:rPr>
              </m:ctrlPr>
            </m:boxPr>
            <m:e>
              <m:r>
                <w:rPr>
                  <w:rFonts w:ascii="Cambria Math" w:hAnsi="Cambria Math"/>
                </w:rPr>
                <m:t>%LoL</m:t>
              </m:r>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EQ</m:t>
                                          </m:r>
                                        </m:e>
                                      </m:box>
                                    </m:sub>
                                  </m:sSub>
                                </m:e>
                              </m:box>
                            </m:num>
                            <m:den>
                              <m:box>
                                <m:boxPr>
                                  <m:ctrlPr>
                                    <w:rPr>
                                      <w:rFonts w:ascii="Cambria Math" w:hAnsi="Cambria Math"/>
                                    </w:rPr>
                                  </m:ctrlPr>
                                </m:boxPr>
                                <m:e>
                                  <m:r>
                                    <m:rPr>
                                      <m:sty m:val="p"/>
                                    </m:rPr>
                                    <w:rPr>
                                      <w:rFonts w:ascii="Cambria Math" w:hAnsi="Cambria Math"/>
                                    </w:rPr>
                                    <m:t>180,000</m:t>
                                  </m:r>
                                </m:e>
                              </m:box>
                            </m:den>
                          </m:f>
                        </m:e>
                      </m:box>
                    </m:e>
                  </m:d>
                </m:e>
              </m:box>
              <m:r>
                <w:rPr>
                  <w:rFonts w:ascii="Cambria Math" w:hAnsi="Cambria Math"/>
                </w:rPr>
                <m:t>×</m:t>
              </m:r>
              <m:r>
                <m:rPr>
                  <m:sty m:val="p"/>
                </m:rPr>
                <w:rPr>
                  <w:rFonts w:ascii="Cambria Math" w:hAnsi="Cambria Math"/>
                </w:rPr>
                <m:t>100</m:t>
              </m:r>
            </m:e>
          </m:box>
        </m:oMath>
      </m:oMathPara>
    </w:p>
    <w:p w14:paraId="7F486550" w14:textId="77777777" w:rsidR="00335355" w:rsidRDefault="00000000">
      <w:r>
        <w:t>(Assuming a standard normal insulation life of 180,000 hours).</w:t>
      </w:r>
    </w:p>
    <w:p w14:paraId="1763BCF4" w14:textId="77777777" w:rsidR="00335355" w:rsidRDefault="00335355">
      <w:pPr>
        <w:pBdr>
          <w:bottom w:val="single" w:sz="6" w:space="1" w:color="808080"/>
        </w:pBdr>
      </w:pPr>
    </w:p>
    <w:p w14:paraId="63C24AFD" w14:textId="4894FC15" w:rsidR="00335355" w:rsidRDefault="00335355" w:rsidP="003269B7">
      <w:pPr>
        <w:pStyle w:val="ListNumber"/>
        <w:numPr>
          <w:ilvl w:val="0"/>
          <w:numId w:val="0"/>
        </w:numPr>
      </w:pPr>
    </w:p>
    <w:sectPr w:rsidR="003353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605912">
    <w:abstractNumId w:val="8"/>
  </w:num>
  <w:num w:numId="2" w16cid:durableId="1761754662">
    <w:abstractNumId w:val="6"/>
  </w:num>
  <w:num w:numId="3" w16cid:durableId="1614899881">
    <w:abstractNumId w:val="5"/>
  </w:num>
  <w:num w:numId="4" w16cid:durableId="1991472426">
    <w:abstractNumId w:val="4"/>
  </w:num>
  <w:num w:numId="5" w16cid:durableId="570966304">
    <w:abstractNumId w:val="7"/>
  </w:num>
  <w:num w:numId="6" w16cid:durableId="1528788104">
    <w:abstractNumId w:val="3"/>
  </w:num>
  <w:num w:numId="7" w16cid:durableId="810489449">
    <w:abstractNumId w:val="2"/>
  </w:num>
  <w:num w:numId="8" w16cid:durableId="703946172">
    <w:abstractNumId w:val="1"/>
  </w:num>
  <w:num w:numId="9" w16cid:durableId="3268326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9E8"/>
    <w:rsid w:val="0015074B"/>
    <w:rsid w:val="0029639D"/>
    <w:rsid w:val="003269B7"/>
    <w:rsid w:val="00326F90"/>
    <w:rsid w:val="00335355"/>
    <w:rsid w:val="007254DB"/>
    <w:rsid w:val="007D11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D43EDC"/>
  <w14:defaultImageDpi w14:val="300"/>
  <w15:docId w15:val="{E0ACB341-26F9-474D-BBD1-87BFF0C97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Yellapantula, Shashank</cp:lastModifiedBy>
  <cp:revision>2</cp:revision>
  <dcterms:created xsi:type="dcterms:W3CDTF">2026-10-08T00:50:00Z</dcterms:created>
  <dcterms:modified xsi:type="dcterms:W3CDTF">2026-10-08T00:50:00Z</dcterms:modified>
  <cp:category/>
  <dc:language>en-US</dc:language>
</cp:coreProperties>
</file>