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color w:val="3d85c6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38"/>
          <w:szCs w:val="38"/>
          <w:rtl w:val="0"/>
        </w:rPr>
        <w:t xml:space="preserve">Supply Chain Performance Recommendation Report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0" w:hanging="36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Key Findings and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0" w:hanging="360"/>
        <w:jc w:val="left"/>
        <w:rPr>
          <w:rFonts w:ascii="Calibri" w:cs="Calibri" w:eastAsia="Calibri" w:hAnsi="Calibri"/>
          <w:b w:val="1"/>
          <w:color w:val="3d85c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6"/>
          <w:szCs w:val="26"/>
          <w:rtl w:val="0"/>
        </w:rPr>
        <w:t xml:space="preserve">Late Delivery Performance by Supplier &amp; Warehouse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45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Supplier D shows the highest late delivery percentage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overall, with the Dallas warehouse being the most affected (53.8%).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45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Supplier C consistently performs better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with a significantly lower percentage of late deliveries across all warehouses.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45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Chicago and Dallas face higher delivery delays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when compared to New York and San Francisco.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hanging="360"/>
        <w:rPr>
          <w:rFonts w:ascii="Calibri" w:cs="Calibri" w:eastAsia="Calibri" w:hAnsi="Calibri"/>
          <w:b w:val="1"/>
          <w:color w:val="3d85c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6"/>
          <w:szCs w:val="26"/>
          <w:rtl w:val="0"/>
        </w:rPr>
        <w:t xml:space="preserve">Reorder Point (ROP) and Inventory Relationshi</w:t>
      </w:r>
      <w:r w:rsidDel="00000000" w:rsidR="00000000" w:rsidRPr="00000000">
        <w:rPr>
          <w:rFonts w:ascii="Roboto" w:cs="Roboto" w:eastAsia="Roboto" w:hAnsi="Roboto"/>
          <w:b w:val="1"/>
          <w:color w:val="60657b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45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Supplier 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has the highest reorder point requirements, i.e., its products have the highest demand or longest lead times, and hence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availability is most crucial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it.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450" w:hanging="360"/>
        <w:jc w:val="both"/>
        <w:rPr>
          <w:rFonts w:ascii="Roboto" w:cs="Roboto" w:eastAsia="Roboto" w:hAnsi="Roboto"/>
          <w:color w:val="60657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strong linear relationship was observed between inventory levels and ROP across categories. Categories like Electronics tend to require higher ROPs, aligning with higher stockout risks if lead times aren’t managed.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hanging="360"/>
        <w:rPr>
          <w:rFonts w:ascii="Calibri" w:cs="Calibri" w:eastAsia="Calibri" w:hAnsi="Calibri"/>
          <w:b w:val="1"/>
          <w:color w:val="3d85c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6"/>
          <w:szCs w:val="26"/>
          <w:rtl w:val="0"/>
        </w:rPr>
        <w:t xml:space="preserve">Cost Savings with Lead Time Reduction by 10%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45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Definitely, all the suppliers show significant improvement in the inventory cost savings, with lead time reduced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45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Supplier C offers the highest savings opportunity (~$158K)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followed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Supplier B (~$143K)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This indicates that even consistent suppliers can trigger high cost optimization if operations are optimized further.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9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Recommendations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9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Prioritize high Supplier C and B for strategic orders since both possess reliability as well as maximum saving opportunity if lead times are reduced.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90" w:hanging="360"/>
        <w:jc w:val="both"/>
        <w:rPr>
          <w:rFonts w:ascii="Roboto" w:cs="Roboto" w:eastAsia="Roboto" w:hAnsi="Roboto"/>
          <w:color w:val="60657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Negotiate Service Level Agreements (SLAs) with Supplier D to reduce Dallas Warehouse delays, or go to alternate sourcing if the performance does not show improvement.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90" w:hanging="360"/>
        <w:jc w:val="both"/>
        <w:rPr>
          <w:rFonts w:ascii="Roboto" w:cs="Roboto" w:eastAsia="Roboto" w:hAnsi="Roboto"/>
          <w:color w:val="60657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Prepare a root cause analysis for Dallas and Chicago warehouses, which have higher late delivery percentages. The reasons may be inefficient routing, congestion, or local logistics coordination.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90" w:hanging="360"/>
        <w:jc w:val="both"/>
        <w:rPr>
          <w:rFonts w:ascii="Roboto" w:cs="Roboto" w:eastAsia="Roboto" w:hAnsi="Roboto"/>
          <w:color w:val="60657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Revise ROP policies, especially for high-usage, high-lead-time items (Electronics, Furniture). Dynamically set reorder points in relation to supplier reliability to balance carrying costs with service levels.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Roboto" w:cs="Roboto" w:eastAsia="Roboto" w:hAnsi="Roboto"/>
          <w:color w:val="60657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9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If I Were the Supply Chain Manager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Supply Chain Manager,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 set up quarterly supplier reviews, focusing on Supplier D’s service improvements and Supplier C’s lead time optimization.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 perform predictive analytics to dynamically adjust reorder points and safety stock levels, reducing stockout risks while keeping a thorough check on costs.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Dallas and Chicago warehouses are weak points. So, in order to fix this, I would use multiple delivery partners, have alternate routes planned, and maintain extra safety stock.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