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center"/>
      </w:pPr>
      <w:r>
        <w:rPr>
          <w:rFonts w:ascii="Times New Roman" w:hAnsi="Times New Roman"/>
          <w:b w:val="0"/>
          <w:sz w:val="24"/>
        </w:rPr>
      </w:r>
    </w:p>
    <w:p>
      <w:pPr>
        <w:spacing w:before="0" w:after="240"/>
        <w:jc w:val="center"/>
      </w:pPr>
      <w:r>
        <w:rPr>
          <w:rFonts w:ascii="Times New Roman" w:hAnsi="Times New Roman"/>
          <w:b/>
          <w:sz w:val="48"/>
        </w:rPr>
        <w:t>COTTON MITRA</w:t>
      </w:r>
    </w:p>
    <w:p>
      <w:pPr>
        <w:spacing w:before="0" w:after="600"/>
        <w:jc w:val="center"/>
      </w:pPr>
      <w:r>
        <w:rPr>
          <w:rFonts w:ascii="Times New Roman" w:hAnsi="Times New Roman"/>
          <w:b w:val="0"/>
          <w:sz w:val="28"/>
        </w:rPr>
        <w:t>Smart Cotton Farming &amp; Warehouse Management System</w:t>
      </w:r>
    </w:p>
    <w:p>
      <w:pPr>
        <w:spacing w:before="0" w:after="120"/>
        <w:jc w:val="center"/>
      </w:pPr>
      <w:r>
        <w:rPr>
          <w:rFonts w:ascii="Times New Roman" w:hAnsi="Times New Roman"/>
          <w:b w:val="0"/>
          <w:sz w:val="28"/>
        </w:rPr>
        <w:t>A Project Report</w:t>
      </w:r>
    </w:p>
    <w:p>
      <w:pPr>
        <w:spacing w:before="0" w:after="120"/>
        <w:jc w:val="center"/>
      </w:pPr>
      <w:r>
        <w:rPr>
          <w:rFonts w:ascii="Times New Roman" w:hAnsi="Times New Roman"/>
          <w:b w:val="0"/>
          <w:sz w:val="24"/>
        </w:rPr>
        <w:t>Submitted in partial fulfillment of the requirements</w:t>
      </w:r>
    </w:p>
    <w:p>
      <w:pPr>
        <w:spacing w:before="0" w:after="240"/>
        <w:jc w:val="center"/>
      </w:pPr>
      <w:r>
        <w:rPr>
          <w:rFonts w:ascii="Times New Roman" w:hAnsi="Times New Roman"/>
          <w:b w:val="0"/>
          <w:sz w:val="24"/>
        </w:rPr>
        <w:t>for the award of the degree of</w:t>
      </w:r>
    </w:p>
    <w:p>
      <w:pPr>
        <w:spacing w:before="0" w:after="120"/>
        <w:jc w:val="center"/>
      </w:pPr>
      <w:r>
        <w:rPr>
          <w:rFonts w:ascii="Times New Roman" w:hAnsi="Times New Roman"/>
          <w:b/>
          <w:sz w:val="32"/>
        </w:rPr>
        <w:t>Bachelor of Technology</w:t>
      </w:r>
    </w:p>
    <w:p>
      <w:pPr>
        <w:spacing w:before="0" w:after="120"/>
        <w:jc w:val="center"/>
      </w:pPr>
      <w:r>
        <w:rPr>
          <w:rFonts w:ascii="Times New Roman" w:hAnsi="Times New Roman"/>
          <w:b w:val="0"/>
          <w:sz w:val="24"/>
        </w:rPr>
        <w:t>in</w:t>
      </w:r>
    </w:p>
    <w:p>
      <w:pPr>
        <w:spacing w:before="0" w:after="600"/>
        <w:jc w:val="center"/>
      </w:pPr>
      <w:r>
        <w:rPr>
          <w:rFonts w:ascii="Times New Roman" w:hAnsi="Times New Roman"/>
          <w:b/>
          <w:sz w:val="32"/>
        </w:rPr>
        <w:t>Computer Science and Engineering</w:t>
      </w:r>
    </w:p>
    <w:p>
      <w:pPr>
        <w:spacing w:before="0" w:after="120"/>
        <w:jc w:val="center"/>
      </w:pPr>
      <w:r>
        <w:rPr>
          <w:rFonts w:ascii="Times New Roman" w:hAnsi="Times New Roman"/>
          <w:b w:val="0"/>
          <w:sz w:val="24"/>
        </w:rPr>
        <w:t>Submitted by:</w:t>
      </w:r>
    </w:p>
    <w:p>
      <w:pPr>
        <w:spacing w:before="0" w:after="600"/>
        <w:jc w:val="center"/>
      </w:pPr>
      <w:r>
        <w:rPr>
          <w:rFonts w:ascii="Times New Roman" w:hAnsi="Times New Roman"/>
          <w:b/>
          <w:sz w:val="28"/>
        </w:rPr>
        <w:t>[Student Name(s)]</w:t>
      </w:r>
    </w:p>
    <w:p>
      <w:pPr>
        <w:spacing w:before="0" w:after="120"/>
        <w:jc w:val="center"/>
      </w:pPr>
      <w:r>
        <w:rPr>
          <w:rFonts w:ascii="Times New Roman" w:hAnsi="Times New Roman"/>
          <w:b w:val="0"/>
          <w:sz w:val="24"/>
        </w:rPr>
        <w:t>Under the guidance of:</w:t>
      </w:r>
    </w:p>
    <w:p>
      <w:pPr>
        <w:spacing w:before="0" w:after="600"/>
        <w:jc w:val="center"/>
      </w:pPr>
      <w:r>
        <w:rPr>
          <w:rFonts w:ascii="Times New Roman" w:hAnsi="Times New Roman"/>
          <w:b/>
          <w:sz w:val="28"/>
        </w:rPr>
        <w:t>[Guide Name]</w:t>
      </w:r>
    </w:p>
    <w:p>
      <w:pPr>
        <w:spacing w:before="0" w:after="120"/>
        <w:jc w:val="center"/>
      </w:pPr>
      <w:r>
        <w:rPr>
          <w:rFonts w:ascii="Times New Roman" w:hAnsi="Times New Roman"/>
          <w:b w:val="0"/>
          <w:sz w:val="24"/>
        </w:rPr>
        <w:t>[Department Name]</w:t>
      </w:r>
    </w:p>
    <w:p>
      <w:pPr>
        <w:spacing w:before="0" w:after="120"/>
        <w:jc w:val="center"/>
      </w:pPr>
      <w:r>
        <w:rPr>
          <w:rFonts w:ascii="Times New Roman" w:hAnsi="Times New Roman"/>
          <w:b/>
          <w:sz w:val="28"/>
        </w:rPr>
        <w:t>[College Name]</w:t>
      </w:r>
    </w:p>
    <w:p>
      <w:pPr>
        <w:spacing w:before="0" w:after="120"/>
        <w:jc w:val="center"/>
      </w:pPr>
      <w:r>
        <w:rPr>
          <w:rFonts w:ascii="Times New Roman" w:hAnsi="Times New Roman"/>
          <w:b w:val="0"/>
          <w:sz w:val="24"/>
        </w:rPr>
        <w:t>[University Name]</w:t>
      </w:r>
    </w:p>
    <w:p>
      <w:pPr>
        <w:spacing w:before="0" w:after="0"/>
        <w:jc w:val="center"/>
      </w:pPr>
      <w:r>
        <w:rPr>
          <w:rFonts w:ascii="Times New Roman" w:hAnsi="Times New Roman"/>
          <w:b w:val="0"/>
          <w:sz w:val="24"/>
        </w:rPr>
        <w:t>[Year]</w:t>
      </w:r>
    </w:p>
    <w:p>
      <w:r>
        <w:br w:type="page"/>
      </w:r>
    </w:p>
    <w:p>
      <w:pPr>
        <w:spacing w:before="0" w:after="480"/>
        <w:jc w:val="center"/>
      </w:pPr>
      <w:r>
        <w:rPr>
          <w:rFonts w:ascii="Times New Roman" w:hAnsi="Times New Roman"/>
          <w:b/>
          <w:sz w:val="32"/>
        </w:rPr>
        <w:t>CERTIFICATE OF APPROVAL</w:t>
      </w:r>
    </w:p>
    <w:p>
      <w:pPr>
        <w:spacing w:after="480"/>
        <w:jc w:val="left"/>
      </w:pPr>
      <w:r>
        <w:rPr>
          <w:rFonts w:ascii="Times New Roman" w:hAnsi="Times New Roman"/>
          <w:b w:val="0"/>
          <w:sz w:val="24"/>
        </w:rPr>
        <w:t>This is to certify that the project report entitled "Cotton Mitra – Smart Cotton Farming &amp; Warehouse Management System" submitted by [Student Name(s)] in partial fulfillment of the requirements for the award of the degree of Bachelor of Technology in Computer Science and Engineering at [College Name], [University Name], is a record of bonafide work carried out under our supervision and guidance.</w:t>
      </w:r>
    </w:p>
    <w:p>
      <w:pPr>
        <w:spacing w:after="960"/>
        <w:jc w:val="left"/>
      </w:pPr>
      <w:r>
        <w:rPr>
          <w:rFonts w:ascii="Times New Roman" w:hAnsi="Times New Roman"/>
          <w:b w:val="0"/>
          <w:sz w:val="24"/>
        </w:rPr>
      </w:r>
    </w:p>
    <w:p>
      <w:pPr>
        <w:spacing w:after="120"/>
        <w:jc w:val="center"/>
      </w:pPr>
      <w:r>
        <w:rPr>
          <w:rFonts w:ascii="Times New Roman" w:hAnsi="Times New Roman"/>
          <w:b w:val="0"/>
          <w:sz w:val="24"/>
        </w:rPr>
        <w:t>________________________                    ________________________</w:t>
      </w:r>
    </w:p>
    <w:p>
      <w:pPr>
        <w:spacing w:after="480"/>
        <w:jc w:val="center"/>
      </w:pPr>
      <w:r>
        <w:rPr>
          <w:rFonts w:ascii="Times New Roman" w:hAnsi="Times New Roman"/>
          <w:b w:val="0"/>
          <w:sz w:val="24"/>
        </w:rPr>
        <w:t>Internal Guide                                           External Examiner</w:t>
      </w:r>
    </w:p>
    <w:p>
      <w:pPr>
        <w:spacing w:after="120"/>
        <w:jc w:val="center"/>
      </w:pPr>
      <w:r>
        <w:rPr>
          <w:rFonts w:ascii="Times New Roman" w:hAnsi="Times New Roman"/>
          <w:b w:val="0"/>
          <w:sz w:val="24"/>
        </w:rPr>
        <w:t>________________________</w:t>
      </w:r>
    </w:p>
    <w:p>
      <w:pPr>
        <w:spacing w:after="240"/>
        <w:jc w:val="center"/>
      </w:pPr>
      <w:r>
        <w:rPr>
          <w:rFonts w:ascii="Times New Roman" w:hAnsi="Times New Roman"/>
          <w:b w:val="0"/>
          <w:sz w:val="24"/>
        </w:rPr>
        <w:t>Head of Department</w:t>
      </w:r>
    </w:p>
    <w:p>
      <w:pPr>
        <w:spacing w:after="120"/>
        <w:jc w:val="left"/>
      </w:pPr>
      <w:r>
        <w:rPr>
          <w:rFonts w:ascii="Times New Roman" w:hAnsi="Times New Roman"/>
          <w:b w:val="0"/>
          <w:sz w:val="24"/>
        </w:rPr>
        <w:t>Date:</w:t>
      </w:r>
    </w:p>
    <w:p>
      <w:pPr>
        <w:spacing w:after="120"/>
        <w:jc w:val="left"/>
      </w:pPr>
      <w:r>
        <w:rPr>
          <w:rFonts w:ascii="Times New Roman" w:hAnsi="Times New Roman"/>
          <w:b w:val="0"/>
          <w:sz w:val="24"/>
        </w:rPr>
        <w:t>Place:</w:t>
      </w:r>
    </w:p>
    <w:p>
      <w:r>
        <w:br w:type="page"/>
      </w:r>
    </w:p>
    <w:p>
      <w:pPr>
        <w:spacing w:before="0" w:after="480"/>
        <w:jc w:val="center"/>
      </w:pPr>
      <w:r>
        <w:rPr>
          <w:rFonts w:ascii="Times New Roman" w:hAnsi="Times New Roman"/>
          <w:b/>
          <w:sz w:val="32"/>
        </w:rPr>
        <w:t>ACKNOWLEDGEMENT</w:t>
      </w:r>
    </w:p>
    <w:p>
      <w:pPr>
        <w:spacing w:after="240"/>
        <w:jc w:val="left"/>
      </w:pPr>
      <w:r>
        <w:rPr>
          <w:rFonts w:ascii="Times New Roman" w:hAnsi="Times New Roman"/>
          <w:b w:val="0"/>
          <w:sz w:val="24"/>
        </w:rPr>
        <w:t>We would like to express our sincere gratitude to our project guide [Guide Name] for their valuable guidance, encouragement, and support throughout the development of this project. Their expertise and insightful suggestions helped shape this work significantly.</w:t>
      </w:r>
    </w:p>
    <w:p>
      <w:pPr>
        <w:spacing w:after="240"/>
        <w:jc w:val="left"/>
      </w:pPr>
      <w:r>
        <w:rPr>
          <w:rFonts w:ascii="Times New Roman" w:hAnsi="Times New Roman"/>
          <w:b w:val="0"/>
          <w:sz w:val="24"/>
        </w:rPr>
        <w:t>We are also grateful to [HOD Name], Head of the Department of Computer Science and Engineering, for providing the necessary facilities and support.</w:t>
      </w:r>
    </w:p>
    <w:p>
      <w:pPr>
        <w:spacing w:after="240"/>
        <w:jc w:val="left"/>
      </w:pPr>
      <w:r>
        <w:rPr>
          <w:rFonts w:ascii="Times New Roman" w:hAnsi="Times New Roman"/>
          <w:b w:val="0"/>
          <w:sz w:val="24"/>
        </w:rPr>
        <w:t>We extend our thanks to [College Name] and all the faculty members who directly or indirectly helped us during the course of this project.</w:t>
      </w:r>
    </w:p>
    <w:p>
      <w:pPr>
        <w:spacing w:after="480"/>
        <w:jc w:val="left"/>
      </w:pPr>
      <w:r>
        <w:rPr>
          <w:rFonts w:ascii="Times New Roman" w:hAnsi="Times New Roman"/>
          <w:b w:val="0"/>
          <w:sz w:val="24"/>
        </w:rPr>
        <w:t>Finally, we would like to thank our family and friends for their constant encouragement and moral support.</w:t>
      </w:r>
    </w:p>
    <w:p>
      <w:pPr>
        <w:spacing w:after="120"/>
        <w:jc w:val="right"/>
      </w:pPr>
      <w:r>
        <w:rPr>
          <w:rFonts w:ascii="Times New Roman" w:hAnsi="Times New Roman"/>
          <w:b/>
          <w:sz w:val="24"/>
        </w:rPr>
        <w:t>[Student Name(s)]</w:t>
      </w:r>
    </w:p>
    <w:p>
      <w:pPr>
        <w:spacing w:after="120"/>
        <w:jc w:val="right"/>
      </w:pPr>
      <w:r>
        <w:rPr>
          <w:rFonts w:ascii="Times New Roman" w:hAnsi="Times New Roman"/>
          <w:b w:val="0"/>
          <w:sz w:val="24"/>
        </w:rPr>
        <w:t>[Date]</w:t>
      </w:r>
    </w:p>
    <w:p>
      <w:r>
        <w:br w:type="page"/>
      </w:r>
    </w:p>
    <w:p>
      <w:pPr>
        <w:spacing w:before="0" w:after="480"/>
        <w:jc w:val="center"/>
      </w:pPr>
      <w:r>
        <w:rPr>
          <w:rFonts w:ascii="Times New Roman" w:hAnsi="Times New Roman"/>
          <w:b/>
          <w:sz w:val="32"/>
        </w:rPr>
        <w:t>DECLARATION</w:t>
      </w:r>
    </w:p>
    <w:p>
      <w:pPr>
        <w:spacing w:after="240"/>
        <w:jc w:val="left"/>
      </w:pPr>
      <w:r>
        <w:rPr>
          <w:rFonts w:ascii="Times New Roman" w:hAnsi="Times New Roman"/>
          <w:b w:val="0"/>
          <w:sz w:val="24"/>
        </w:rPr>
        <w:t>We hereby declare that the project report entitled "Cotton Mitra – Smart Cotton Farming &amp; Warehouse Management System" submitted to [University Name] in partial fulfillment of the requirements for the award of the degree of Bachelor of Technology in Computer Science and Engineering is a record of original work done by us under the guidance of [Guide Name].</w:t>
      </w:r>
    </w:p>
    <w:p>
      <w:pPr>
        <w:spacing w:after="480"/>
        <w:jc w:val="left"/>
      </w:pPr>
      <w:r>
        <w:rPr>
          <w:rFonts w:ascii="Times New Roman" w:hAnsi="Times New Roman"/>
          <w:b w:val="0"/>
          <w:sz w:val="24"/>
        </w:rPr>
        <w:t>The results embodied in this project report have not been submitted to any other university or institute for the award of any degree or diploma.</w:t>
      </w:r>
    </w:p>
    <w:p>
      <w:pPr>
        <w:spacing w:after="960"/>
        <w:jc w:val="left"/>
      </w:pPr>
      <w:r>
        <w:rPr>
          <w:rFonts w:ascii="Times New Roman" w:hAnsi="Times New Roman"/>
          <w:b w:val="0"/>
          <w:sz w:val="24"/>
        </w:rPr>
      </w:r>
    </w:p>
    <w:p>
      <w:pPr>
        <w:spacing w:after="120"/>
        <w:jc w:val="right"/>
      </w:pPr>
      <w:r>
        <w:rPr>
          <w:rFonts w:ascii="Times New Roman" w:hAnsi="Times New Roman"/>
          <w:b/>
          <w:sz w:val="24"/>
        </w:rPr>
        <w:t>[Student Name(s)]</w:t>
      </w:r>
    </w:p>
    <w:p>
      <w:pPr>
        <w:spacing w:after="120"/>
        <w:jc w:val="left"/>
      </w:pPr>
      <w:r>
        <w:rPr>
          <w:rFonts w:ascii="Times New Roman" w:hAnsi="Times New Roman"/>
          <w:b w:val="0"/>
          <w:sz w:val="24"/>
        </w:rPr>
        <w:t>Date:</w:t>
      </w:r>
    </w:p>
    <w:p>
      <w:pPr>
        <w:spacing w:after="120"/>
        <w:jc w:val="left"/>
      </w:pPr>
      <w:r>
        <w:rPr>
          <w:rFonts w:ascii="Times New Roman" w:hAnsi="Times New Roman"/>
          <w:b w:val="0"/>
          <w:sz w:val="24"/>
        </w:rPr>
        <w:t>Place:</w:t>
      </w:r>
    </w:p>
    <w:p>
      <w:r>
        <w:br w:type="page"/>
      </w:r>
    </w:p>
    <w:p>
      <w:pPr>
        <w:spacing w:before="0" w:after="360"/>
        <w:jc w:val="center"/>
      </w:pPr>
      <w:r>
        <w:rPr>
          <w:rFonts w:ascii="Times New Roman" w:hAnsi="Times New Roman"/>
          <w:b/>
          <w:sz w:val="32"/>
        </w:rPr>
        <w:t>TABLE OF CONTENTS</w:t>
      </w:r>
    </w:p>
    <w:p>
      <w:pPr>
        <w:tabs>
          <w:tab w:pos="7654" w:val="right" w:leader="hyphen"/>
        </w:tabs>
        <w:spacing w:after="60" w:before="60"/>
      </w:pPr>
      <w:r>
        <w:rPr>
          <w:rFonts w:ascii="Times New Roman" w:hAnsi="Times New Roman"/>
          <w:b w:val="0"/>
          <w:sz w:val="24"/>
        </w:rPr>
        <w:t>Certificate of Approval</w:t>
        <w:tab/>
        <w:t>i</w:t>
      </w:r>
    </w:p>
    <w:p>
      <w:pPr>
        <w:tabs>
          <w:tab w:pos="7654" w:val="right" w:leader="hyphen"/>
        </w:tabs>
        <w:spacing w:after="60" w:before="60"/>
      </w:pPr>
      <w:r>
        <w:rPr>
          <w:rFonts w:ascii="Times New Roman" w:hAnsi="Times New Roman"/>
          <w:b w:val="0"/>
          <w:sz w:val="24"/>
        </w:rPr>
        <w:t>Acknowledgement</w:t>
        <w:tab/>
        <w:t>ii</w:t>
      </w:r>
    </w:p>
    <w:p>
      <w:pPr>
        <w:tabs>
          <w:tab w:pos="7654" w:val="right" w:leader="hyphen"/>
        </w:tabs>
        <w:spacing w:after="60" w:before="60"/>
      </w:pPr>
      <w:r>
        <w:rPr>
          <w:rFonts w:ascii="Times New Roman" w:hAnsi="Times New Roman"/>
          <w:b w:val="0"/>
          <w:sz w:val="24"/>
        </w:rPr>
        <w:t>Declaration</w:t>
        <w:tab/>
        <w:t>iii</w:t>
      </w:r>
    </w:p>
    <w:p>
      <w:pPr>
        <w:tabs>
          <w:tab w:pos="7654" w:val="right" w:leader="hyphen"/>
        </w:tabs>
        <w:spacing w:after="60" w:before="60"/>
      </w:pPr>
      <w:r>
        <w:rPr>
          <w:rFonts w:ascii="Times New Roman" w:hAnsi="Times New Roman"/>
          <w:b w:val="0"/>
          <w:sz w:val="24"/>
        </w:rPr>
        <w:t>Table of Contents</w:t>
        <w:tab/>
        <w:t>iv</w:t>
      </w:r>
    </w:p>
    <w:p>
      <w:pPr>
        <w:tabs>
          <w:tab w:pos="7654" w:val="right" w:leader="hyphen"/>
        </w:tabs>
        <w:spacing w:after="60" w:before="60"/>
      </w:pPr>
      <w:r>
        <w:rPr>
          <w:rFonts w:ascii="Times New Roman" w:hAnsi="Times New Roman"/>
          <w:b w:val="0"/>
          <w:sz w:val="24"/>
        </w:rPr>
        <w:t>List of Tables</w:t>
        <w:tab/>
        <w:t>vi</w:t>
      </w:r>
    </w:p>
    <w:p>
      <w:pPr>
        <w:tabs>
          <w:tab w:pos="7654" w:val="right" w:leader="hyphen"/>
        </w:tabs>
        <w:spacing w:after="60" w:before="60"/>
      </w:pPr>
      <w:r>
        <w:rPr>
          <w:rFonts w:ascii="Times New Roman" w:hAnsi="Times New Roman"/>
          <w:b w:val="0"/>
          <w:sz w:val="24"/>
        </w:rPr>
        <w:t>List of Figures</w:t>
        <w:tab/>
        <w:t>vii</w:t>
      </w:r>
    </w:p>
    <w:p>
      <w:pPr>
        <w:tabs>
          <w:tab w:pos="7654" w:val="right" w:leader="hyphen"/>
        </w:tabs>
        <w:spacing w:after="60" w:before="60"/>
      </w:pPr>
      <w:r>
        <w:rPr>
          <w:rFonts w:ascii="Times New Roman" w:hAnsi="Times New Roman"/>
          <w:b w:val="0"/>
          <w:sz w:val="24"/>
        </w:rPr>
        <w:t>List of Abbreviations</w:t>
        <w:tab/>
        <w:t>viii</w:t>
      </w:r>
    </w:p>
    <w:p>
      <w:pPr>
        <w:tabs>
          <w:tab w:pos="7654" w:val="right" w:leader="hyphen"/>
        </w:tabs>
        <w:spacing w:after="60" w:before="60"/>
      </w:pPr>
      <w:r>
        <w:rPr>
          <w:rFonts w:ascii="Times New Roman" w:hAnsi="Times New Roman"/>
          <w:b w:val="0"/>
          <w:sz w:val="24"/>
        </w:rPr>
        <w:t>List of Symbols</w:t>
        <w:tab/>
        <w:t>ix</w:t>
      </w:r>
    </w:p>
    <w:p>
      <w:pPr>
        <w:tabs>
          <w:tab w:pos="7654" w:val="right" w:leader="hyphen"/>
        </w:tabs>
        <w:spacing w:after="60" w:before="60"/>
      </w:pPr>
      <w:r>
        <w:rPr>
          <w:rFonts w:ascii="Times New Roman" w:hAnsi="Times New Roman"/>
          <w:b w:val="0"/>
          <w:sz w:val="24"/>
        </w:rPr>
        <w:t>Abstract</w:t>
        <w:tab/>
        <w:t>x</w:t>
      </w:r>
    </w:p>
    <w:p>
      <w:pPr>
        <w:tabs>
          <w:tab w:pos="7654" w:val="right" w:leader="hyphen"/>
        </w:tabs>
        <w:spacing w:after="60" w:before="60"/>
      </w:pPr>
      <w:r>
        <w:rPr>
          <w:rFonts w:ascii="Times New Roman" w:hAnsi="Times New Roman"/>
          <w:b w:val="0"/>
          <w:sz w:val="24"/>
        </w:rPr>
        <w:t>Project CO-PO Matrix</w:t>
        <w:tab/>
        <w:t>xi</w:t>
      </w:r>
    </w:p>
    <w:p>
      <w:pPr>
        <w:tabs>
          <w:tab w:pos="7654" w:val="right" w:leader="hyphen"/>
        </w:tabs>
        <w:spacing w:before="240" w:after="60"/>
      </w:pPr>
      <w:r>
        <w:rPr>
          <w:rFonts w:ascii="Times New Roman" w:hAnsi="Times New Roman"/>
          <w:b/>
          <w:sz w:val="24"/>
        </w:rPr>
        <w:t>Chapter 1  Introduction</w:t>
        <w:tab/>
        <w:t>1-2</w:t>
      </w:r>
    </w:p>
    <w:p>
      <w:pPr>
        <w:tabs>
          <w:tab w:pos="7654" w:val="right" w:leader="hyphen"/>
        </w:tabs>
        <w:spacing w:after="60" w:before="60"/>
        <w:ind w:left="567"/>
      </w:pPr>
      <w:r>
        <w:rPr>
          <w:rFonts w:ascii="Times New Roman" w:hAnsi="Times New Roman"/>
          <w:b w:val="0"/>
          <w:sz w:val="24"/>
        </w:rPr>
        <w:t>1.1  Overview</w:t>
        <w:tab/>
        <w:t>1</w:t>
      </w:r>
    </w:p>
    <w:p>
      <w:pPr>
        <w:tabs>
          <w:tab w:pos="7654" w:val="right" w:leader="hyphen"/>
        </w:tabs>
        <w:spacing w:after="60" w:before="60"/>
        <w:ind w:left="567"/>
      </w:pPr>
      <w:r>
        <w:rPr>
          <w:rFonts w:ascii="Times New Roman" w:hAnsi="Times New Roman"/>
          <w:b w:val="0"/>
          <w:sz w:val="24"/>
        </w:rPr>
        <w:t>1.2  Problem Statement</w:t>
        <w:tab/>
        <w:t>1</w:t>
      </w:r>
    </w:p>
    <w:p>
      <w:pPr>
        <w:tabs>
          <w:tab w:pos="7654" w:val="right" w:leader="hyphen"/>
        </w:tabs>
        <w:spacing w:after="60" w:before="60"/>
        <w:ind w:left="567"/>
      </w:pPr>
      <w:r>
        <w:rPr>
          <w:rFonts w:ascii="Times New Roman" w:hAnsi="Times New Roman"/>
          <w:b w:val="0"/>
          <w:sz w:val="24"/>
        </w:rPr>
        <w:t>1.3  Thesis Objectives</w:t>
        <w:tab/>
        <w:t>2</w:t>
      </w:r>
    </w:p>
    <w:p>
      <w:pPr>
        <w:spacing w:after="200" w:before="0" w:line="276" w:lineRule="auto"/>
        <w:jc w:val="center"/>
      </w:pPr>
      <w:r>
        <w:rPr>
          <w:rFonts w:ascii="Times New Roman" w:hAnsi="Times New Roman"/>
          <w:b/>
          <w:i/>
          <w:color w:val="000000"/>
          <w:sz w:val="20"/>
        </w:rPr>
        <w:t>Table 1.1: Functional and Non-Functional Technical Specifications of Cotton Mitra</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3001"/>
        <w:gridCol w:w="3001"/>
        <w:gridCol w:w="3001"/>
      </w:tblGrid>
      <w:tr>
        <w:tc>
          <w:tcPr>
            <w:tcW w:type="dxa" w:w="3001"/>
            <w:shd w:fill="1F497D"/>
          </w:tcPr>
          <w:p>
            <w:pPr>
              <w:spacing w:after="80" w:before="80"/>
              <w:jc w:val="center"/>
            </w:pPr>
            <w:r>
              <w:rPr>
                <w:rFonts w:ascii="Times New Roman" w:hAnsi="Times New Roman"/>
                <w:b/>
                <w:color w:val="FFFFFF"/>
                <w:sz w:val="20"/>
              </w:rPr>
              <w:t>Specification Category</w:t>
            </w:r>
          </w:p>
        </w:tc>
        <w:tc>
          <w:tcPr>
            <w:tcW w:type="dxa" w:w="3001"/>
            <w:shd w:fill="1F497D"/>
          </w:tcPr>
          <w:p>
            <w:pPr>
              <w:spacing w:after="80" w:before="80"/>
              <w:jc w:val="center"/>
            </w:pPr>
            <w:r>
              <w:rPr>
                <w:rFonts w:ascii="Times New Roman" w:hAnsi="Times New Roman"/>
                <w:b/>
                <w:color w:val="FFFFFF"/>
                <w:sz w:val="20"/>
              </w:rPr>
              <w:t>Functional Requirement</w:t>
            </w:r>
          </w:p>
        </w:tc>
        <w:tc>
          <w:tcPr>
            <w:tcW w:type="dxa" w:w="3001"/>
            <w:shd w:fill="1F497D"/>
          </w:tcPr>
          <w:p>
            <w:pPr>
              <w:spacing w:after="80" w:before="80"/>
              <w:jc w:val="center"/>
            </w:pPr>
            <w:r>
              <w:rPr>
                <w:rFonts w:ascii="Times New Roman" w:hAnsi="Times New Roman"/>
                <w:b/>
                <w:color w:val="FFFFFF"/>
                <w:sz w:val="20"/>
              </w:rPr>
              <w:t>Target Technical Metric</w:t>
            </w:r>
          </w:p>
        </w:tc>
      </w:tr>
      <w:tr>
        <w:tc>
          <w:tcPr>
            <w:tcW w:type="dxa" w:w="3001"/>
            <w:shd w:fill="F2F5F9"/>
          </w:tcPr>
          <w:p>
            <w:pPr>
              <w:spacing w:after="60" w:before="60"/>
            </w:pPr>
            <w:r>
              <w:rPr>
                <w:rFonts w:ascii="Times New Roman" w:hAnsi="Times New Roman"/>
                <w:color w:val="1E1E1E"/>
                <w:sz w:val="19"/>
              </w:rPr>
              <w:t>Nutrient Diagnosis</w:t>
            </w:r>
          </w:p>
        </w:tc>
        <w:tc>
          <w:tcPr>
            <w:tcW w:type="dxa" w:w="3001"/>
            <w:shd w:fill="F2F5F9"/>
          </w:tcPr>
          <w:p>
            <w:pPr>
              <w:spacing w:after="60" w:before="60"/>
            </w:pPr>
            <w:r>
              <w:rPr>
                <w:rFonts w:ascii="Times New Roman" w:hAnsi="Times New Roman"/>
                <w:color w:val="1E1E1E"/>
                <w:sz w:val="19"/>
              </w:rPr>
              <w:t>STCR soil test fertilizer dose calculation</w:t>
            </w:r>
          </w:p>
        </w:tc>
        <w:tc>
          <w:tcPr>
            <w:tcW w:type="dxa" w:w="3001"/>
            <w:shd w:fill="F2F5F9"/>
          </w:tcPr>
          <w:p>
            <w:pPr>
              <w:spacing w:after="60" w:before="60"/>
            </w:pPr>
            <w:r>
              <w:rPr>
                <w:rFonts w:ascii="Times New Roman" w:hAnsi="Times New Roman"/>
                <w:color w:val="1E1E1E"/>
                <w:sz w:val="19"/>
              </w:rPr>
              <w:t>NPK accuracy within ±5% of ICAR standards</w:t>
            </w:r>
          </w:p>
        </w:tc>
      </w:tr>
      <w:tr>
        <w:tc>
          <w:tcPr>
            <w:tcW w:type="dxa" w:w="3001"/>
          </w:tcPr>
          <w:p>
            <w:pPr>
              <w:spacing w:after="60" w:before="60"/>
            </w:pPr>
            <w:r>
              <w:rPr>
                <w:rFonts w:ascii="Times New Roman" w:hAnsi="Times New Roman"/>
                <w:color w:val="1E1E1E"/>
                <w:sz w:val="19"/>
              </w:rPr>
              <w:t>Demand Forecasting</w:t>
            </w:r>
          </w:p>
        </w:tc>
        <w:tc>
          <w:tcPr>
            <w:tcW w:type="dxa" w:w="3001"/>
          </w:tcPr>
          <w:p>
            <w:pPr>
              <w:spacing w:after="60" w:before="60"/>
            </w:pPr>
            <w:r>
              <w:rPr>
                <w:rFonts w:ascii="Times New Roman" w:hAnsi="Times New Roman"/>
                <w:color w:val="1E1E1E"/>
                <w:sz w:val="19"/>
              </w:rPr>
              <w:t>Monthly cotton consumption regression</w:t>
            </w:r>
          </w:p>
        </w:tc>
        <w:tc>
          <w:tcPr>
            <w:tcW w:type="dxa" w:w="3001"/>
          </w:tcPr>
          <w:p>
            <w:pPr>
              <w:spacing w:after="60" w:before="60"/>
            </w:pPr>
            <w:r>
              <w:rPr>
                <w:rFonts w:ascii="Times New Roman" w:hAnsi="Times New Roman"/>
                <w:color w:val="1E1E1E"/>
                <w:sz w:val="19"/>
              </w:rPr>
              <w:t>R² &gt; 0.90, MAPE &lt; 3.0% over 3-month horizon</w:t>
            </w:r>
          </w:p>
        </w:tc>
      </w:tr>
      <w:tr>
        <w:tc>
          <w:tcPr>
            <w:tcW w:type="dxa" w:w="3001"/>
            <w:shd w:fill="F2F5F9"/>
          </w:tcPr>
          <w:p>
            <w:pPr>
              <w:spacing w:after="60" w:before="60"/>
            </w:pPr>
            <w:r>
              <w:rPr>
                <w:rFonts w:ascii="Times New Roman" w:hAnsi="Times New Roman"/>
                <w:color w:val="1E1E1E"/>
                <w:sz w:val="19"/>
              </w:rPr>
              <w:t>Storage Telemetry</w:t>
            </w:r>
          </w:p>
        </w:tc>
        <w:tc>
          <w:tcPr>
            <w:tcW w:type="dxa" w:w="3001"/>
            <w:shd w:fill="F2F5F9"/>
          </w:tcPr>
          <w:p>
            <w:pPr>
              <w:spacing w:after="60" w:before="60"/>
            </w:pPr>
            <w:r>
              <w:rPr>
                <w:rFonts w:ascii="Times New Roman" w:hAnsi="Times New Roman"/>
                <w:color w:val="1E1E1E"/>
                <w:sz w:val="19"/>
              </w:rPr>
              <w:t>Ambient humidity &amp; temperature monitoring</w:t>
            </w:r>
          </w:p>
        </w:tc>
        <w:tc>
          <w:tcPr>
            <w:tcW w:type="dxa" w:w="3001"/>
            <w:shd w:fill="F2F5F9"/>
          </w:tcPr>
          <w:p>
            <w:pPr>
              <w:spacing w:after="60" w:before="60"/>
            </w:pPr>
            <w:r>
              <w:rPr>
                <w:rFonts w:ascii="Times New Roman" w:hAnsi="Times New Roman"/>
                <w:color w:val="1E1E1E"/>
                <w:sz w:val="19"/>
              </w:rPr>
              <w:t>Alert dispatch &lt; 500 ms upon &gt;60% RH breach</w:t>
            </w:r>
          </w:p>
        </w:tc>
      </w:tr>
      <w:tr>
        <w:tc>
          <w:tcPr>
            <w:tcW w:type="dxa" w:w="3001"/>
          </w:tcPr>
          <w:p>
            <w:pPr>
              <w:spacing w:after="60" w:before="60"/>
            </w:pPr>
            <w:r>
              <w:rPr>
                <w:rFonts w:ascii="Times New Roman" w:hAnsi="Times New Roman"/>
                <w:color w:val="1E1E1E"/>
                <w:sz w:val="19"/>
              </w:rPr>
              <w:t>Direct Negotiation</w:t>
            </w:r>
          </w:p>
        </w:tc>
        <w:tc>
          <w:tcPr>
            <w:tcW w:type="dxa" w:w="3001"/>
          </w:tcPr>
          <w:p>
            <w:pPr>
              <w:spacing w:after="60" w:before="60"/>
            </w:pPr>
            <w:r>
              <w:rPr>
                <w:rFonts w:ascii="Times New Roman" w:hAnsi="Times New Roman"/>
                <w:color w:val="1E1E1E"/>
                <w:sz w:val="19"/>
              </w:rPr>
              <w:t>Duplex peer-to-peer farmer-buyer chat</w:t>
            </w:r>
          </w:p>
        </w:tc>
        <w:tc>
          <w:tcPr>
            <w:tcW w:type="dxa" w:w="3001"/>
          </w:tcPr>
          <w:p>
            <w:pPr>
              <w:spacing w:after="60" w:before="60"/>
            </w:pPr>
            <w:r>
              <w:rPr>
                <w:rFonts w:ascii="Times New Roman" w:hAnsi="Times New Roman"/>
                <w:color w:val="1E1E1E"/>
                <w:sz w:val="19"/>
              </w:rPr>
              <w:t>AES-256 encrypted WebSocket latency &lt; 100 ms</w:t>
            </w:r>
          </w:p>
        </w:tc>
      </w:tr>
      <w:tr>
        <w:tc>
          <w:tcPr>
            <w:tcW w:type="dxa" w:w="3001"/>
            <w:shd w:fill="F2F5F9"/>
          </w:tcPr>
          <w:p>
            <w:pPr>
              <w:spacing w:after="60" w:before="60"/>
            </w:pPr>
            <w:r>
              <w:rPr>
                <w:rFonts w:ascii="Times New Roman" w:hAnsi="Times New Roman"/>
                <w:color w:val="1E1E1E"/>
                <w:sz w:val="19"/>
              </w:rPr>
              <w:t>Authentication</w:t>
            </w:r>
          </w:p>
        </w:tc>
        <w:tc>
          <w:tcPr>
            <w:tcW w:type="dxa" w:w="3001"/>
            <w:shd w:fill="F2F5F9"/>
          </w:tcPr>
          <w:p>
            <w:pPr>
              <w:spacing w:after="60" w:before="60"/>
            </w:pPr>
            <w:r>
              <w:rPr>
                <w:rFonts w:ascii="Times New Roman" w:hAnsi="Times New Roman"/>
                <w:color w:val="1E1E1E"/>
                <w:sz w:val="19"/>
              </w:rPr>
              <w:t>Mobile OTP phone verification</w:t>
            </w:r>
          </w:p>
        </w:tc>
        <w:tc>
          <w:tcPr>
            <w:tcW w:type="dxa" w:w="3001"/>
            <w:shd w:fill="F2F5F9"/>
          </w:tcPr>
          <w:p>
            <w:pPr>
              <w:spacing w:after="60" w:before="60"/>
            </w:pPr>
            <w:r>
              <w:rPr>
                <w:rFonts w:ascii="Times New Roman" w:hAnsi="Times New Roman"/>
                <w:color w:val="1E1E1E"/>
                <w:sz w:val="19"/>
              </w:rPr>
              <w:t>6-digit OTP, 10-minute validity, rate limited</w:t>
            </w:r>
          </w:p>
        </w:tc>
      </w:tr>
    </w:tbl>
    <w:p>
      <w:pPr>
        <w:tabs>
          <w:tab w:pos="7654" w:val="right" w:leader="hyphen"/>
        </w:tabs>
        <w:spacing w:before="240" w:after="60"/>
      </w:pPr>
      <w:r>
        <w:rPr>
          <w:rFonts w:ascii="Times New Roman" w:hAnsi="Times New Roman"/>
          <w:b/>
          <w:sz w:val="24"/>
        </w:rPr>
        <w:t>Chapter 2  Review of Literature</w:t>
        <w:tab/>
        <w:t>3-7</w:t>
      </w:r>
    </w:p>
    <w:p>
      <w:pPr>
        <w:tabs>
          <w:tab w:pos="7654" w:val="right" w:leader="hyphen"/>
        </w:tabs>
        <w:spacing w:after="60" w:before="60"/>
        <w:ind w:left="567"/>
      </w:pPr>
      <w:r>
        <w:rPr>
          <w:rFonts w:ascii="Times New Roman" w:hAnsi="Times New Roman"/>
          <w:b w:val="0"/>
          <w:sz w:val="24"/>
        </w:rPr>
        <w:t>2.1  Overview</w:t>
        <w:tab/>
        <w:t>3</w:t>
      </w:r>
    </w:p>
    <w:p>
      <w:pPr>
        <w:tabs>
          <w:tab w:pos="7654" w:val="right" w:leader="hyphen"/>
        </w:tabs>
        <w:spacing w:before="240" w:after="60"/>
      </w:pPr>
      <w:r>
        <w:rPr>
          <w:rFonts w:ascii="Times New Roman" w:hAnsi="Times New Roman"/>
          <w:b/>
          <w:sz w:val="24"/>
        </w:rPr>
        <w:t>Chapter 3  Work Done</w:t>
        <w:tab/>
        <w:t>8-27</w:t>
      </w:r>
    </w:p>
    <w:p>
      <w:pPr>
        <w:tabs>
          <w:tab w:pos="7654" w:val="right" w:leader="hyphen"/>
        </w:tabs>
        <w:spacing w:after="60" w:before="60"/>
        <w:ind w:left="567"/>
      </w:pPr>
      <w:r>
        <w:rPr>
          <w:rFonts w:ascii="Times New Roman" w:hAnsi="Times New Roman"/>
          <w:b w:val="0"/>
          <w:sz w:val="24"/>
        </w:rPr>
        <w:t>3.1  System Design and Development</w:t>
        <w:tab/>
        <w:t>8</w:t>
      </w:r>
    </w:p>
    <w:p>
      <w:pPr>
        <w:tabs>
          <w:tab w:pos="7654" w:val="right" w:leader="hyphen"/>
        </w:tabs>
        <w:spacing w:after="60" w:before="60"/>
        <w:ind w:left="567"/>
      </w:pPr>
      <w:r>
        <w:rPr>
          <w:rFonts w:ascii="Times New Roman" w:hAnsi="Times New Roman"/>
          <w:b w:val="0"/>
          <w:sz w:val="24"/>
        </w:rPr>
        <w:t>3.2  Technologies Used</w:t>
        <w:tab/>
        <w:t>15</w:t>
      </w:r>
    </w:p>
    <w:p>
      <w:pPr>
        <w:tabs>
          <w:tab w:pos="7654" w:val="right" w:leader="hyphen"/>
        </w:tabs>
        <w:spacing w:after="60" w:before="60"/>
        <w:ind w:left="567"/>
      </w:pPr>
      <w:r>
        <w:rPr>
          <w:rFonts w:ascii="Times New Roman" w:hAnsi="Times New Roman"/>
          <w:b w:val="0"/>
          <w:sz w:val="24"/>
        </w:rPr>
        <w:t>3.3  Flow of the System</w:t>
        <w:tab/>
        <w:t>19</w:t>
      </w:r>
    </w:p>
    <w:p>
      <w:pPr>
        <w:tabs>
          <w:tab w:pos="7654" w:val="right" w:leader="hyphen"/>
        </w:tabs>
        <w:spacing w:after="60" w:before="60"/>
        <w:ind w:left="567"/>
      </w:pPr>
      <w:r>
        <w:rPr>
          <w:rFonts w:ascii="Times New Roman" w:hAnsi="Times New Roman"/>
          <w:b w:val="0"/>
          <w:sz w:val="24"/>
        </w:rPr>
        <w:t>3.4  Software Architecture</w:t>
        <w:tab/>
        <w:t>21</w:t>
      </w:r>
    </w:p>
    <w:p>
      <w:pPr>
        <w:tabs>
          <w:tab w:pos="7654" w:val="right" w:leader="hyphen"/>
        </w:tabs>
        <w:spacing w:after="60" w:before="60"/>
        <w:ind w:left="567"/>
      </w:pPr>
      <w:r>
        <w:rPr>
          <w:rFonts w:ascii="Times New Roman" w:hAnsi="Times New Roman"/>
          <w:b w:val="0"/>
          <w:sz w:val="24"/>
        </w:rPr>
        <w:t>3.5  Data Pre-processing</w:t>
        <w:tab/>
        <w:t>23</w:t>
      </w:r>
    </w:p>
    <w:p>
      <w:pPr>
        <w:tabs>
          <w:tab w:pos="7654" w:val="right" w:leader="hyphen"/>
        </w:tabs>
        <w:spacing w:before="240" w:after="60"/>
      </w:pPr>
      <w:r>
        <w:rPr>
          <w:rFonts w:ascii="Times New Roman" w:hAnsi="Times New Roman"/>
          <w:b/>
          <w:sz w:val="24"/>
        </w:rPr>
        <w:t>Chapter 4  Methodology</w:t>
        <w:tab/>
        <w:t>28-52</w:t>
      </w:r>
    </w:p>
    <w:p>
      <w:pPr>
        <w:tabs>
          <w:tab w:pos="7654" w:val="right" w:leader="hyphen"/>
        </w:tabs>
        <w:spacing w:after="60" w:before="60"/>
        <w:ind w:left="567"/>
      </w:pPr>
      <w:r>
        <w:rPr>
          <w:rFonts w:ascii="Times New Roman" w:hAnsi="Times New Roman"/>
          <w:b w:val="0"/>
          <w:sz w:val="24"/>
        </w:rPr>
        <w:t>4.1  Crop Recommendation System</w:t>
        <w:tab/>
        <w:t>28</w:t>
      </w:r>
    </w:p>
    <w:p>
      <w:pPr>
        <w:spacing w:after="200" w:before="0" w:line="276" w:lineRule="auto"/>
        <w:jc w:val="center"/>
      </w:pPr>
      <w:r>
        <w:rPr>
          <w:rFonts w:ascii="Times New Roman" w:hAnsi="Times New Roman"/>
          <w:b/>
          <w:i/>
          <w:color w:val="000000"/>
          <w:sz w:val="20"/>
        </w:rPr>
        <w:t>Table 4.1: Soil Physicochemical Parameters and Cotton Agro-Ecological Thresholds</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2251"/>
        <w:gridCol w:w="2251"/>
        <w:gridCol w:w="2251"/>
        <w:gridCol w:w="2251"/>
      </w:tblGrid>
      <w:tr>
        <w:tc>
          <w:tcPr>
            <w:tcW w:type="dxa" w:w="2251"/>
            <w:shd w:fill="1F497D"/>
          </w:tcPr>
          <w:p>
            <w:pPr>
              <w:spacing w:after="80" w:before="80"/>
              <w:jc w:val="center"/>
            </w:pPr>
            <w:r>
              <w:rPr>
                <w:rFonts w:ascii="Times New Roman" w:hAnsi="Times New Roman"/>
                <w:b/>
                <w:color w:val="FFFFFF"/>
                <w:sz w:val="20"/>
              </w:rPr>
              <w:t>Soil / Environmental Factor</w:t>
            </w:r>
          </w:p>
        </w:tc>
        <w:tc>
          <w:tcPr>
            <w:tcW w:type="dxa" w:w="2251"/>
            <w:shd w:fill="1F497D"/>
          </w:tcPr>
          <w:p>
            <w:pPr>
              <w:spacing w:after="80" w:before="80"/>
              <w:jc w:val="center"/>
            </w:pPr>
            <w:r>
              <w:rPr>
                <w:rFonts w:ascii="Times New Roman" w:hAnsi="Times New Roman"/>
                <w:b/>
                <w:color w:val="FFFFFF"/>
                <w:sz w:val="20"/>
              </w:rPr>
              <w:t>Optimum Range for Cotton</w:t>
            </w:r>
          </w:p>
        </w:tc>
        <w:tc>
          <w:tcPr>
            <w:tcW w:type="dxa" w:w="2251"/>
            <w:shd w:fill="1F497D"/>
          </w:tcPr>
          <w:p>
            <w:pPr>
              <w:spacing w:after="80" w:before="80"/>
              <w:jc w:val="center"/>
            </w:pPr>
            <w:r>
              <w:rPr>
                <w:rFonts w:ascii="Times New Roman" w:hAnsi="Times New Roman"/>
                <w:b/>
                <w:color w:val="FFFFFF"/>
                <w:sz w:val="20"/>
              </w:rPr>
              <w:t>Deficient / Critical Range</w:t>
            </w:r>
          </w:p>
        </w:tc>
        <w:tc>
          <w:tcPr>
            <w:tcW w:type="dxa" w:w="2251"/>
            <w:shd w:fill="1F497D"/>
          </w:tcPr>
          <w:p>
            <w:pPr>
              <w:spacing w:after="80" w:before="80"/>
              <w:jc w:val="center"/>
            </w:pPr>
            <w:r>
              <w:rPr>
                <w:rFonts w:ascii="Times New Roman" w:hAnsi="Times New Roman"/>
                <w:b/>
                <w:color w:val="FFFFFF"/>
                <w:sz w:val="20"/>
              </w:rPr>
              <w:t>Agronomic Impact on Cotton Crop</w:t>
            </w:r>
          </w:p>
        </w:tc>
      </w:tr>
      <w:tr>
        <w:tc>
          <w:tcPr>
            <w:tcW w:type="dxa" w:w="2251"/>
            <w:shd w:fill="F2F5F9"/>
          </w:tcPr>
          <w:p>
            <w:pPr>
              <w:spacing w:after="60" w:before="60"/>
            </w:pPr>
            <w:r>
              <w:rPr>
                <w:rFonts w:ascii="Times New Roman" w:hAnsi="Times New Roman"/>
                <w:color w:val="1E1E1E"/>
                <w:sz w:val="19"/>
              </w:rPr>
              <w:t>Available Nitrogen (N)</w:t>
            </w:r>
          </w:p>
        </w:tc>
        <w:tc>
          <w:tcPr>
            <w:tcW w:type="dxa" w:w="2251"/>
            <w:shd w:fill="F2F5F9"/>
          </w:tcPr>
          <w:p>
            <w:pPr>
              <w:spacing w:after="60" w:before="60"/>
            </w:pPr>
            <w:r>
              <w:rPr>
                <w:rFonts w:ascii="Times New Roman" w:hAnsi="Times New Roman"/>
                <w:color w:val="1E1E1E"/>
                <w:sz w:val="19"/>
              </w:rPr>
              <w:t>280 – 560 kg/ha</w:t>
            </w:r>
          </w:p>
        </w:tc>
        <w:tc>
          <w:tcPr>
            <w:tcW w:type="dxa" w:w="2251"/>
            <w:shd w:fill="F2F5F9"/>
          </w:tcPr>
          <w:p>
            <w:pPr>
              <w:spacing w:after="60" w:before="60"/>
            </w:pPr>
            <w:r>
              <w:rPr>
                <w:rFonts w:ascii="Times New Roman" w:hAnsi="Times New Roman"/>
                <w:color w:val="1E1E1E"/>
                <w:sz w:val="19"/>
              </w:rPr>
              <w:t>&lt; 280 kg/ha</w:t>
            </w:r>
          </w:p>
        </w:tc>
        <w:tc>
          <w:tcPr>
            <w:tcW w:type="dxa" w:w="2251"/>
            <w:shd w:fill="F2F5F9"/>
          </w:tcPr>
          <w:p>
            <w:pPr>
              <w:spacing w:after="60" w:before="60"/>
            </w:pPr>
            <w:r>
              <w:rPr>
                <w:rFonts w:ascii="Times New Roman" w:hAnsi="Times New Roman"/>
                <w:color w:val="1E1E1E"/>
                <w:sz w:val="19"/>
              </w:rPr>
              <w:t>Stunted vegetative canopy, chlorosis, reduced sympodial branches</w:t>
            </w:r>
          </w:p>
        </w:tc>
      </w:tr>
      <w:tr>
        <w:tc>
          <w:tcPr>
            <w:tcW w:type="dxa" w:w="2251"/>
          </w:tcPr>
          <w:p>
            <w:pPr>
              <w:spacing w:after="60" w:before="60"/>
            </w:pPr>
            <w:r>
              <w:rPr>
                <w:rFonts w:ascii="Times New Roman" w:hAnsi="Times New Roman"/>
                <w:color w:val="1E1E1E"/>
                <w:sz w:val="19"/>
              </w:rPr>
              <w:t>Available Phosphorus (P)</w:t>
            </w:r>
          </w:p>
        </w:tc>
        <w:tc>
          <w:tcPr>
            <w:tcW w:type="dxa" w:w="2251"/>
          </w:tcPr>
          <w:p>
            <w:pPr>
              <w:spacing w:after="60" w:before="60"/>
            </w:pPr>
            <w:r>
              <w:rPr>
                <w:rFonts w:ascii="Times New Roman" w:hAnsi="Times New Roman"/>
                <w:color w:val="1E1E1E"/>
                <w:sz w:val="19"/>
              </w:rPr>
              <w:t>10 – 25 kg/ha</w:t>
            </w:r>
          </w:p>
        </w:tc>
        <w:tc>
          <w:tcPr>
            <w:tcW w:type="dxa" w:w="2251"/>
          </w:tcPr>
          <w:p>
            <w:pPr>
              <w:spacing w:after="60" w:before="60"/>
            </w:pPr>
            <w:r>
              <w:rPr>
                <w:rFonts w:ascii="Times New Roman" w:hAnsi="Times New Roman"/>
                <w:color w:val="1E1E1E"/>
                <w:sz w:val="19"/>
              </w:rPr>
              <w:t>&lt; 10 kg/ha</w:t>
            </w:r>
          </w:p>
        </w:tc>
        <w:tc>
          <w:tcPr>
            <w:tcW w:type="dxa" w:w="2251"/>
          </w:tcPr>
          <w:p>
            <w:pPr>
              <w:spacing w:after="60" w:before="60"/>
            </w:pPr>
            <w:r>
              <w:rPr>
                <w:rFonts w:ascii="Times New Roman" w:hAnsi="Times New Roman"/>
                <w:color w:val="1E1E1E"/>
                <w:sz w:val="19"/>
              </w:rPr>
              <w:t>Restricted taproot elongation, poor square initiation, delayed boll opening</w:t>
            </w:r>
          </w:p>
        </w:tc>
      </w:tr>
      <w:tr>
        <w:tc>
          <w:tcPr>
            <w:tcW w:type="dxa" w:w="2251"/>
            <w:shd w:fill="F2F5F9"/>
          </w:tcPr>
          <w:p>
            <w:pPr>
              <w:spacing w:after="60" w:before="60"/>
            </w:pPr>
            <w:r>
              <w:rPr>
                <w:rFonts w:ascii="Times New Roman" w:hAnsi="Times New Roman"/>
                <w:color w:val="1E1E1E"/>
                <w:sz w:val="19"/>
              </w:rPr>
              <w:t>Available Potassium (K)</w:t>
            </w:r>
          </w:p>
        </w:tc>
        <w:tc>
          <w:tcPr>
            <w:tcW w:type="dxa" w:w="2251"/>
            <w:shd w:fill="F2F5F9"/>
          </w:tcPr>
          <w:p>
            <w:pPr>
              <w:spacing w:after="60" w:before="60"/>
            </w:pPr>
            <w:r>
              <w:rPr>
                <w:rFonts w:ascii="Times New Roman" w:hAnsi="Times New Roman"/>
                <w:color w:val="1E1E1E"/>
                <w:sz w:val="19"/>
              </w:rPr>
              <w:t>110 – 280 kg/ha</w:t>
            </w:r>
          </w:p>
        </w:tc>
        <w:tc>
          <w:tcPr>
            <w:tcW w:type="dxa" w:w="2251"/>
            <w:shd w:fill="F2F5F9"/>
          </w:tcPr>
          <w:p>
            <w:pPr>
              <w:spacing w:after="60" w:before="60"/>
            </w:pPr>
            <w:r>
              <w:rPr>
                <w:rFonts w:ascii="Times New Roman" w:hAnsi="Times New Roman"/>
                <w:color w:val="1E1E1E"/>
                <w:sz w:val="19"/>
              </w:rPr>
              <w:t>&lt; 110 kg/ha</w:t>
            </w:r>
          </w:p>
        </w:tc>
        <w:tc>
          <w:tcPr>
            <w:tcW w:type="dxa" w:w="2251"/>
            <w:shd w:fill="F2F5F9"/>
          </w:tcPr>
          <w:p>
            <w:pPr>
              <w:spacing w:after="60" w:before="60"/>
            </w:pPr>
            <w:r>
              <w:rPr>
                <w:rFonts w:ascii="Times New Roman" w:hAnsi="Times New Roman"/>
                <w:color w:val="1E1E1E"/>
                <w:sz w:val="19"/>
              </w:rPr>
              <w:t>Premature defoliation, weak lint fiber tensile strength, boll rot susceptibility</w:t>
            </w:r>
          </w:p>
        </w:tc>
      </w:tr>
      <w:tr>
        <w:tc>
          <w:tcPr>
            <w:tcW w:type="dxa" w:w="2251"/>
          </w:tcPr>
          <w:p>
            <w:pPr>
              <w:spacing w:after="60" w:before="60"/>
            </w:pPr>
            <w:r>
              <w:rPr>
                <w:rFonts w:ascii="Times New Roman" w:hAnsi="Times New Roman"/>
                <w:color w:val="1E1E1E"/>
                <w:sz w:val="19"/>
              </w:rPr>
              <w:t>Soil Reaction (pH)</w:t>
            </w:r>
          </w:p>
        </w:tc>
        <w:tc>
          <w:tcPr>
            <w:tcW w:type="dxa" w:w="2251"/>
          </w:tcPr>
          <w:p>
            <w:pPr>
              <w:spacing w:after="60" w:before="60"/>
            </w:pPr>
            <w:r>
              <w:rPr>
                <w:rFonts w:ascii="Times New Roman" w:hAnsi="Times New Roman"/>
                <w:color w:val="1E1E1E"/>
                <w:sz w:val="19"/>
              </w:rPr>
              <w:t>6.5 – 8.0</w:t>
            </w:r>
          </w:p>
        </w:tc>
        <w:tc>
          <w:tcPr>
            <w:tcW w:type="dxa" w:w="2251"/>
          </w:tcPr>
          <w:p>
            <w:pPr>
              <w:spacing w:after="60" w:before="60"/>
            </w:pPr>
            <w:r>
              <w:rPr>
                <w:rFonts w:ascii="Times New Roman" w:hAnsi="Times New Roman"/>
                <w:color w:val="1E1E1E"/>
                <w:sz w:val="19"/>
              </w:rPr>
              <w:t>&lt; 5.5 or &gt; 8.5</w:t>
            </w:r>
          </w:p>
        </w:tc>
        <w:tc>
          <w:tcPr>
            <w:tcW w:type="dxa" w:w="2251"/>
          </w:tcPr>
          <w:p>
            <w:pPr>
              <w:spacing w:after="60" w:before="60"/>
            </w:pPr>
            <w:r>
              <w:rPr>
                <w:rFonts w:ascii="Times New Roman" w:hAnsi="Times New Roman"/>
                <w:color w:val="1E1E1E"/>
                <w:sz w:val="19"/>
              </w:rPr>
              <w:t>Nutrient lockup; Al toxicity in acidic soils, P-fixation in high alkaline soils</w:t>
            </w:r>
          </w:p>
        </w:tc>
      </w:tr>
      <w:tr>
        <w:tc>
          <w:tcPr>
            <w:tcW w:type="dxa" w:w="2251"/>
            <w:shd w:fill="F2F5F9"/>
          </w:tcPr>
          <w:p>
            <w:pPr>
              <w:spacing w:after="60" w:before="60"/>
            </w:pPr>
            <w:r>
              <w:rPr>
                <w:rFonts w:ascii="Times New Roman" w:hAnsi="Times New Roman"/>
                <w:color w:val="1E1E1E"/>
                <w:sz w:val="19"/>
              </w:rPr>
              <w:t>Ambient Humidity</w:t>
            </w:r>
          </w:p>
        </w:tc>
        <w:tc>
          <w:tcPr>
            <w:tcW w:type="dxa" w:w="2251"/>
            <w:shd w:fill="F2F5F9"/>
          </w:tcPr>
          <w:p>
            <w:pPr>
              <w:spacing w:after="60" w:before="60"/>
            </w:pPr>
            <w:r>
              <w:rPr>
                <w:rFonts w:ascii="Times New Roman" w:hAnsi="Times New Roman"/>
                <w:color w:val="1E1E1E"/>
                <w:sz w:val="19"/>
              </w:rPr>
              <w:t>50% – 70%</w:t>
            </w:r>
          </w:p>
        </w:tc>
        <w:tc>
          <w:tcPr>
            <w:tcW w:type="dxa" w:w="2251"/>
            <w:shd w:fill="F2F5F9"/>
          </w:tcPr>
          <w:p>
            <w:pPr>
              <w:spacing w:after="60" w:before="60"/>
            </w:pPr>
            <w:r>
              <w:rPr>
                <w:rFonts w:ascii="Times New Roman" w:hAnsi="Times New Roman"/>
                <w:color w:val="1E1E1E"/>
                <w:sz w:val="19"/>
              </w:rPr>
              <w:t>&lt; 40% or &gt; 80%</w:t>
            </w:r>
          </w:p>
        </w:tc>
        <w:tc>
          <w:tcPr>
            <w:tcW w:type="dxa" w:w="2251"/>
            <w:shd w:fill="F2F5F9"/>
          </w:tcPr>
          <w:p>
            <w:pPr>
              <w:spacing w:after="60" w:before="60"/>
            </w:pPr>
            <w:r>
              <w:rPr>
                <w:rFonts w:ascii="Times New Roman" w:hAnsi="Times New Roman"/>
                <w:color w:val="1E1E1E"/>
                <w:sz w:val="19"/>
              </w:rPr>
              <w:t>Dry conditions desiccate squares; excess humidity induces fungal foliar blight</w:t>
            </w:r>
          </w:p>
        </w:tc>
      </w:tr>
    </w:tbl>
    <w:p>
      <w:pPr>
        <w:tabs>
          <w:tab w:pos="7654" w:val="right" w:leader="hyphen"/>
        </w:tabs>
        <w:spacing w:after="60" w:before="60"/>
        <w:ind w:left="567"/>
      </w:pPr>
      <w:r>
        <w:rPr>
          <w:rFonts w:ascii="Times New Roman" w:hAnsi="Times New Roman"/>
          <w:b w:val="0"/>
          <w:sz w:val="24"/>
        </w:rPr>
        <w:t>4.2  Crop Recommendation Machine Learning Model</w:t>
        <w:tab/>
        <w:t>30</w:t>
      </w:r>
    </w:p>
    <w:p>
      <w:pPr>
        <w:tabs>
          <w:tab w:pos="7654" w:val="right" w:leader="hyphen"/>
        </w:tabs>
        <w:spacing w:after="60" w:before="60"/>
        <w:ind w:left="567"/>
      </w:pPr>
      <w:r>
        <w:rPr>
          <w:rFonts w:ascii="Times New Roman" w:hAnsi="Times New Roman"/>
          <w:b w:val="0"/>
          <w:sz w:val="24"/>
        </w:rPr>
        <w:t>4.3  Creating API of Machine Learning Model</w:t>
        <w:tab/>
        <w:t>35</w:t>
      </w:r>
    </w:p>
    <w:p>
      <w:pPr>
        <w:tabs>
          <w:tab w:pos="7654" w:val="right" w:leader="hyphen"/>
        </w:tabs>
        <w:spacing w:after="60" w:before="60"/>
        <w:ind w:left="567"/>
      </w:pPr>
      <w:r>
        <w:rPr>
          <w:rFonts w:ascii="Times New Roman" w:hAnsi="Times New Roman"/>
          <w:b w:val="0"/>
          <w:sz w:val="24"/>
        </w:rPr>
        <w:t>4.4  Fertilizer Dose Recommendation System</w:t>
        <w:tab/>
        <w:t>40</w:t>
      </w:r>
    </w:p>
    <w:p>
      <w:pPr>
        <w:tabs>
          <w:tab w:pos="7654" w:val="right" w:leader="hyphen"/>
        </w:tabs>
        <w:spacing w:after="60" w:before="60"/>
        <w:ind w:left="567"/>
      </w:pPr>
      <w:r>
        <w:rPr>
          <w:rFonts w:ascii="Times New Roman" w:hAnsi="Times New Roman"/>
          <w:b w:val="0"/>
          <w:sz w:val="24"/>
        </w:rPr>
        <w:t>4.5  Algorithm of Fertilizer Recommendation System</w:t>
        <w:tab/>
        <w:t>42</w:t>
      </w:r>
    </w:p>
    <w:p>
      <w:pPr>
        <w:tabs>
          <w:tab w:pos="7654" w:val="right" w:leader="hyphen"/>
        </w:tabs>
        <w:spacing w:after="60" w:before="60"/>
        <w:ind w:left="567"/>
      </w:pPr>
      <w:r>
        <w:rPr>
          <w:rFonts w:ascii="Times New Roman" w:hAnsi="Times New Roman"/>
          <w:b w:val="0"/>
          <w:sz w:val="24"/>
        </w:rPr>
        <w:t>4.6  Soil Report Generation</w:t>
        <w:tab/>
        <w:t>50</w:t>
      </w:r>
    </w:p>
    <w:p>
      <w:pPr>
        <w:tabs>
          <w:tab w:pos="7654" w:val="right" w:leader="hyphen"/>
        </w:tabs>
        <w:spacing w:after="60" w:before="60"/>
        <w:ind w:left="567"/>
      </w:pPr>
      <w:r>
        <w:rPr>
          <w:rFonts w:ascii="Times New Roman" w:hAnsi="Times New Roman"/>
          <w:b w:val="0"/>
          <w:sz w:val="24"/>
        </w:rPr>
        <w:t>4.7  Fertilizer Information</w:t>
        <w:tab/>
        <w:t>51</w:t>
      </w:r>
    </w:p>
    <w:p>
      <w:pPr>
        <w:tabs>
          <w:tab w:pos="7654" w:val="right" w:leader="hyphen"/>
        </w:tabs>
        <w:spacing w:before="240" w:after="60"/>
      </w:pPr>
      <w:r>
        <w:rPr>
          <w:rFonts w:ascii="Times New Roman" w:hAnsi="Times New Roman"/>
          <w:b/>
          <w:sz w:val="24"/>
        </w:rPr>
        <w:t>Chapter 5  Result and Discussion</w:t>
        <w:tab/>
        <w:t>53-61</w:t>
      </w:r>
    </w:p>
    <w:p>
      <w:pPr>
        <w:tabs>
          <w:tab w:pos="7654" w:val="right" w:leader="hyphen"/>
        </w:tabs>
        <w:spacing w:after="60" w:before="60"/>
        <w:ind w:left="567"/>
      </w:pPr>
      <w:r>
        <w:rPr>
          <w:rFonts w:ascii="Times New Roman" w:hAnsi="Times New Roman"/>
          <w:b w:val="0"/>
          <w:sz w:val="24"/>
        </w:rPr>
        <w:t>5.1  Result and Evaluation of Crop Recommendation System</w:t>
        <w:tab/>
        <w:t>53</w:t>
      </w:r>
    </w:p>
    <w:p>
      <w:pPr>
        <w:tabs>
          <w:tab w:pos="7654" w:val="right" w:leader="hyphen"/>
        </w:tabs>
        <w:spacing w:after="60" w:before="60"/>
        <w:ind w:left="567"/>
      </w:pPr>
      <w:r>
        <w:rPr>
          <w:rFonts w:ascii="Times New Roman" w:hAnsi="Times New Roman"/>
          <w:b w:val="0"/>
          <w:sz w:val="24"/>
        </w:rPr>
        <w:t>5.2  Result and Evaluation of Fertilizer Dose Recommendation System</w:t>
        <w:tab/>
        <w:t>59</w:t>
      </w:r>
    </w:p>
    <w:p>
      <w:pPr>
        <w:tabs>
          <w:tab w:pos="7654" w:val="right" w:leader="hyphen"/>
        </w:tabs>
        <w:spacing w:before="240" w:after="60"/>
      </w:pPr>
      <w:r>
        <w:rPr>
          <w:rFonts w:ascii="Times New Roman" w:hAnsi="Times New Roman"/>
          <w:b/>
          <w:sz w:val="24"/>
        </w:rPr>
        <w:t>Chapter 6  Summary and Conclusion</w:t>
        <w:tab/>
        <w:t>62-69</w:t>
      </w:r>
    </w:p>
    <w:p>
      <w:pPr>
        <w:tabs>
          <w:tab w:pos="7654" w:val="right" w:leader="hyphen"/>
        </w:tabs>
        <w:spacing w:after="60" w:before="60"/>
        <w:ind w:left="567"/>
      </w:pPr>
      <w:r>
        <w:rPr>
          <w:rFonts w:ascii="Times New Roman" w:hAnsi="Times New Roman"/>
          <w:b w:val="0"/>
          <w:sz w:val="24"/>
        </w:rPr>
        <w:t>6.1  Summary</w:t>
        <w:tab/>
        <w:t>62</w:t>
      </w:r>
    </w:p>
    <w:p>
      <w:pPr>
        <w:tabs>
          <w:tab w:pos="7654" w:val="right" w:leader="hyphen"/>
        </w:tabs>
        <w:spacing w:after="60" w:before="60"/>
        <w:ind w:left="567"/>
      </w:pPr>
      <w:r>
        <w:rPr>
          <w:rFonts w:ascii="Times New Roman" w:hAnsi="Times New Roman"/>
          <w:b w:val="0"/>
          <w:sz w:val="24"/>
        </w:rPr>
        <w:t>6.2  Conclusion</w:t>
        <w:tab/>
        <w:t>63</w:t>
      </w:r>
    </w:p>
    <w:p>
      <w:pPr>
        <w:tabs>
          <w:tab w:pos="7654" w:val="right" w:leader="hyphen"/>
        </w:tabs>
        <w:spacing w:after="60" w:before="60"/>
        <w:ind w:left="567"/>
      </w:pPr>
      <w:r>
        <w:rPr>
          <w:rFonts w:ascii="Times New Roman" w:hAnsi="Times New Roman"/>
          <w:b w:val="0"/>
          <w:sz w:val="24"/>
        </w:rPr>
        <w:t>6.3  Future Scope</w:t>
        <w:tab/>
        <w:t>64</w:t>
      </w:r>
    </w:p>
    <w:p>
      <w:pPr>
        <w:tabs>
          <w:tab w:pos="7654" w:val="right" w:leader="hyphen"/>
        </w:tabs>
        <w:spacing w:after="60" w:before="60"/>
        <w:ind w:left="567"/>
      </w:pPr>
      <w:r>
        <w:rPr>
          <w:rFonts w:ascii="Times New Roman" w:hAnsi="Times New Roman"/>
          <w:b w:val="0"/>
          <w:sz w:val="24"/>
        </w:rPr>
        <w:t>6.4  Social Utility of Project</w:t>
        <w:tab/>
        <w:t>66</w:t>
      </w:r>
    </w:p>
    <w:p>
      <w:pPr>
        <w:tabs>
          <w:tab w:pos="7654" w:val="right" w:leader="hyphen"/>
        </w:tabs>
        <w:spacing w:after="60" w:before="60"/>
        <w:ind w:left="567"/>
      </w:pPr>
      <w:r>
        <w:rPr>
          <w:rFonts w:ascii="Times New Roman" w:hAnsi="Times New Roman"/>
          <w:b w:val="0"/>
          <w:sz w:val="24"/>
        </w:rPr>
        <w:t>6.5  SDG Mapping</w:t>
        <w:tab/>
        <w:t>68</w:t>
      </w:r>
    </w:p>
    <w:p>
      <w:pPr>
        <w:tabs>
          <w:tab w:pos="7654" w:val="right" w:leader="hyphen"/>
        </w:tabs>
        <w:spacing w:before="240" w:after="60"/>
      </w:pPr>
      <w:r>
        <w:rPr>
          <w:rFonts w:ascii="Times New Roman" w:hAnsi="Times New Roman"/>
          <w:b/>
          <w:sz w:val="24"/>
        </w:rPr>
        <w:t>Chapter 7  Appendix</w:t>
        <w:tab/>
        <w:t>70-72</w:t>
      </w:r>
    </w:p>
    <w:p>
      <w:pPr>
        <w:tabs>
          <w:tab w:pos="7654" w:val="right" w:leader="hyphen"/>
        </w:tabs>
        <w:spacing w:after="60" w:before="60"/>
        <w:ind w:left="567"/>
      </w:pPr>
      <w:r>
        <w:rPr>
          <w:rFonts w:ascii="Times New Roman" w:hAnsi="Times New Roman"/>
          <w:b w:val="0"/>
          <w:sz w:val="24"/>
        </w:rPr>
        <w:t>Appendix A</w:t>
        <w:tab/>
        <w:t>70</w:t>
      </w:r>
    </w:p>
    <w:p>
      <w:pPr>
        <w:tabs>
          <w:tab w:pos="7654" w:val="right" w:leader="hyphen"/>
        </w:tabs>
        <w:spacing w:after="60" w:before="60"/>
        <w:ind w:left="567"/>
      </w:pPr>
      <w:r>
        <w:rPr>
          <w:rFonts w:ascii="Times New Roman" w:hAnsi="Times New Roman"/>
          <w:b w:val="0"/>
          <w:sz w:val="24"/>
        </w:rPr>
        <w:t>Appendix B</w:t>
        <w:tab/>
        <w:t>71</w:t>
      </w:r>
    </w:p>
    <w:p>
      <w:pPr>
        <w:tabs>
          <w:tab w:pos="7654" w:val="right" w:leader="hyphen"/>
        </w:tabs>
        <w:spacing w:after="60" w:before="60"/>
        <w:ind w:left="567"/>
      </w:pPr>
      <w:r>
        <w:rPr>
          <w:rFonts w:ascii="Times New Roman" w:hAnsi="Times New Roman"/>
          <w:b w:val="0"/>
          <w:sz w:val="24"/>
        </w:rPr>
        <w:t>Appendix C</w:t>
        <w:tab/>
        <w:t>72</w:t>
      </w:r>
    </w:p>
    <w:p>
      <w:pPr>
        <w:tabs>
          <w:tab w:pos="7654" w:val="right" w:leader="hyphen"/>
        </w:tabs>
        <w:spacing w:before="240" w:after="60"/>
      </w:pPr>
      <w:r>
        <w:rPr>
          <w:rFonts w:ascii="Times New Roman" w:hAnsi="Times New Roman"/>
          <w:b/>
          <w:sz w:val="24"/>
        </w:rPr>
        <w:t>Chapter 8  References</w:t>
        <w:tab/>
        <w:t>73-75</w:t>
      </w:r>
    </w:p>
    <w:p>
      <w:r>
        <w:br w:type="page"/>
      </w:r>
    </w:p>
    <w:p>
      <w:pPr>
        <w:spacing w:before="0" w:after="360"/>
        <w:jc w:val="center"/>
      </w:pPr>
      <w:r>
        <w:rPr>
          <w:rFonts w:ascii="Times New Roman" w:hAnsi="Times New Roman"/>
          <w:b/>
          <w:sz w:val="32"/>
        </w:rPr>
        <w:t>LIST OF TABLES</w:t>
      </w:r>
    </w:p>
    <w:p>
      <w:pPr>
        <w:tabs>
          <w:tab w:pos="7654" w:val="right" w:leader="hyphen"/>
        </w:tabs>
        <w:spacing w:after="60" w:before="60"/>
      </w:pPr>
      <w:r/>
    </w:p>
    <w:p>
      <w:pPr>
        <w:spacing w:after="80" w:before="0" w:line="276" w:lineRule="auto"/>
        <w:jc w:val="left"/>
      </w:pPr>
      <w:r>
        <w:rPr>
          <w:rFonts w:ascii="Times New Roman" w:hAnsi="Times New Roman"/>
          <w:b w:val="0"/>
          <w:i w:val="0"/>
          <w:color w:val="000000"/>
          <w:sz w:val="22"/>
        </w:rPr>
        <w:t>Table 1.1  Functional and Non-Functional Technical Specifications of Cotton Mitra</w:t>
        <w:tab/>
        <w:t>2</w:t>
      </w:r>
    </w:p>
    <w:p>
      <w:pPr>
        <w:spacing w:after="80" w:before="0" w:line="276" w:lineRule="auto"/>
        <w:jc w:val="left"/>
      </w:pPr>
      <w:r>
        <w:rPr>
          <w:rFonts w:ascii="Times New Roman" w:hAnsi="Times New Roman"/>
          <w:b w:val="0"/>
          <w:i w:val="0"/>
          <w:color w:val="000000"/>
          <w:sz w:val="22"/>
        </w:rPr>
        <w:t>Table 2.1  Comparative Analysis of Existing Agritech Platforms vs. Cotton Mitra</w:t>
        <w:tab/>
        <w:t>6</w:t>
      </w:r>
    </w:p>
    <w:p>
      <w:pPr>
        <w:spacing w:after="80" w:before="0" w:line="276" w:lineRule="auto"/>
        <w:jc w:val="left"/>
      </w:pPr>
      <w:r>
        <w:rPr>
          <w:rFonts w:ascii="Times New Roman" w:hAnsi="Times New Roman"/>
          <w:b w:val="0"/>
          <w:i w:val="0"/>
          <w:color w:val="000000"/>
          <w:sz w:val="22"/>
        </w:rPr>
        <w:t>Table 3.1  Cotton Mitra Multi-Tier Architectural Technology Stack</w:t>
        <w:tab/>
        <w:t>16</w:t>
      </w:r>
    </w:p>
    <w:p>
      <w:pPr>
        <w:spacing w:after="80" w:before="0" w:line="276" w:lineRule="auto"/>
        <w:jc w:val="left"/>
      </w:pPr>
      <w:r>
        <w:rPr>
          <w:rFonts w:ascii="Times New Roman" w:hAnsi="Times New Roman"/>
          <w:b w:val="0"/>
          <w:i w:val="0"/>
          <w:color w:val="000000"/>
          <w:sz w:val="22"/>
        </w:rPr>
        <w:t>Table 3.2  Econometric and Environmental Features for ML Forecast Model</w:t>
        <w:tab/>
        <w:t>25</w:t>
      </w:r>
    </w:p>
    <w:p>
      <w:pPr>
        <w:spacing w:after="80" w:before="0" w:line="276" w:lineRule="auto"/>
        <w:jc w:val="left"/>
      </w:pPr>
      <w:r>
        <w:rPr>
          <w:rFonts w:ascii="Times New Roman" w:hAnsi="Times New Roman"/>
          <w:b w:val="0"/>
          <w:i w:val="0"/>
          <w:color w:val="000000"/>
          <w:sz w:val="22"/>
        </w:rPr>
        <w:t>Table 4.1  Soil Physicochemical Parameters and Cotton Agro-Ecological Thresholds</w:t>
        <w:tab/>
        <w:t>29</w:t>
      </w:r>
    </w:p>
    <w:p>
      <w:pPr>
        <w:spacing w:after="80" w:before="0" w:line="276" w:lineRule="auto"/>
        <w:jc w:val="left"/>
      </w:pPr>
      <w:r>
        <w:rPr>
          <w:rFonts w:ascii="Times New Roman" w:hAnsi="Times New Roman"/>
          <w:b w:val="0"/>
          <w:i w:val="0"/>
          <w:color w:val="000000"/>
          <w:sz w:val="22"/>
        </w:rPr>
        <w:t>Table 4.2  Soil Nutrient Fertility Rating Classes and Fertilizer Adjustment Factors</w:t>
        <w:tab/>
        <w:t>41</w:t>
      </w:r>
    </w:p>
    <w:p>
      <w:pPr>
        <w:spacing w:after="80" w:before="0" w:line="276" w:lineRule="auto"/>
        <w:jc w:val="left"/>
      </w:pPr>
      <w:r>
        <w:rPr>
          <w:rFonts w:ascii="Times New Roman" w:hAnsi="Times New Roman"/>
          <w:b w:val="0"/>
          <w:i w:val="0"/>
          <w:color w:val="000000"/>
          <w:sz w:val="22"/>
        </w:rPr>
        <w:t>Table 4.3  Commercial Fertilizer Formulations and Nutrient Conversion Equivalents</w:t>
        <w:tab/>
        <w:t>44</w:t>
      </w:r>
    </w:p>
    <w:p>
      <w:pPr>
        <w:spacing w:after="80" w:before="0" w:line="276" w:lineRule="auto"/>
        <w:jc w:val="left"/>
      </w:pPr>
      <w:r>
        <w:rPr>
          <w:rFonts w:ascii="Times New Roman" w:hAnsi="Times New Roman"/>
          <w:b w:val="0"/>
          <w:i w:val="0"/>
          <w:color w:val="000000"/>
          <w:sz w:val="22"/>
        </w:rPr>
        <w:t>Table 4.4  Recommended Stage-Wise Split Fertilizer Application Schedule for Cotton</w:t>
        <w:tab/>
        <w:t>48</w:t>
      </w:r>
    </w:p>
    <w:p>
      <w:pPr>
        <w:spacing w:after="80" w:before="0" w:line="276" w:lineRule="auto"/>
        <w:jc w:val="left"/>
      </w:pPr>
      <w:r>
        <w:rPr>
          <w:rFonts w:ascii="Times New Roman" w:hAnsi="Times New Roman"/>
          <w:b w:val="0"/>
          <w:i w:val="0"/>
          <w:color w:val="000000"/>
          <w:sz w:val="22"/>
        </w:rPr>
        <w:t>Table 5.1  Performance Benchmark of Predictive Regression Models on Cotton Dataset</w:t>
        <w:tab/>
        <w:t>55</w:t>
      </w:r>
    </w:p>
    <w:p>
      <w:pPr>
        <w:spacing w:after="80" w:before="0" w:line="276" w:lineRule="auto"/>
        <w:jc w:val="left"/>
      </w:pPr>
      <w:r>
        <w:rPr>
          <w:rFonts w:ascii="Times New Roman" w:hAnsi="Times New Roman"/>
          <w:b w:val="0"/>
          <w:i w:val="0"/>
          <w:color w:val="000000"/>
          <w:sz w:val="22"/>
        </w:rPr>
        <w:t>Table 5.2  Quarterly Cotton Consumption Forecast and Trend Projection Summary</w:t>
        <w:tab/>
        <w:t>57</w:t>
      </w:r>
    </w:p>
    <w:p>
      <w:pPr>
        <w:spacing w:after="80" w:before="0" w:line="276" w:lineRule="auto"/>
        <w:jc w:val="left"/>
      </w:pPr>
      <w:r>
        <w:rPr>
          <w:rFonts w:ascii="Times New Roman" w:hAnsi="Times New Roman"/>
          <w:b w:val="0"/>
          <w:i w:val="0"/>
          <w:color w:val="000000"/>
          <w:sz w:val="22"/>
        </w:rPr>
        <w:t>Table 5.3  Warehouse Environmental Telemetry Thresholds and Risk Classifications</w:t>
        <w:tab/>
        <w:t>60</w:t>
      </w:r>
    </w:p>
    <w:p>
      <w:pPr>
        <w:spacing w:after="80" w:before="0" w:line="276" w:lineRule="auto"/>
        <w:jc w:val="left"/>
      </w:pPr>
      <w:r>
        <w:rPr>
          <w:rFonts w:ascii="Times New Roman" w:hAnsi="Times New Roman"/>
          <w:b w:val="0"/>
          <w:i w:val="0"/>
          <w:color w:val="000000"/>
          <w:sz w:val="22"/>
        </w:rPr>
        <w:t>Table 6.1  Cotton Mitra Direct Alignment Matrix with UN Sustainable Development Goals</w:t>
        <w:tab/>
        <w:t>68</w:t>
      </w:r>
    </w:p>
    <w:p>
      <w:pPr>
        <w:tabs>
          <w:tab w:pos="7654" w:val="right" w:leader="hyphen"/>
        </w:tabs>
        <w:spacing w:after="60" w:before="60"/>
      </w:pPr>
      <w:r>
        <w:rPr>
          <w:rFonts w:ascii="Times New Roman" w:hAnsi="Times New Roman"/>
          <w:b w:val="0"/>
          <w:sz w:val="24"/>
        </w:rPr>
        <w:t>Table 2.1  [Table Title]</w:t>
        <w:tab/>
        <w:t>[Page]</w:t>
      </w:r>
    </w:p>
    <w:p>
      <w:pPr>
        <w:tabs>
          <w:tab w:pos="7654" w:val="right" w:leader="hyphen"/>
        </w:tabs>
        <w:spacing w:after="60" w:before="60"/>
      </w:pPr>
      <w:r>
        <w:rPr>
          <w:rFonts w:ascii="Times New Roman" w:hAnsi="Times New Roman"/>
          <w:b w:val="0"/>
          <w:sz w:val="24"/>
        </w:rPr>
        <w:t>Table 3.1  [Table Title]</w:t>
        <w:tab/>
        <w:t>[Page]</w:t>
      </w:r>
    </w:p>
    <w:p>
      <w:pPr>
        <w:spacing w:after="120"/>
        <w:jc w:val="left"/>
      </w:pPr>
      <w:r/>
    </w:p>
    <w:p>
      <w:pPr>
        <w:spacing w:after="80" w:before="0" w:line="276" w:lineRule="auto"/>
        <w:jc w:val="left"/>
      </w:pPr>
      <w:r>
        <w:rPr>
          <w:rFonts w:ascii="Times New Roman" w:hAnsi="Times New Roman"/>
          <w:b w:val="0"/>
          <w:i w:val="0"/>
          <w:color w:val="000000"/>
          <w:sz w:val="22"/>
        </w:rPr>
        <w:t>Table 1.1  Functional and Non-Functional Technical Specifications of Cotton Mitra</w:t>
        <w:tab/>
        <w:t>2</w:t>
      </w:r>
    </w:p>
    <w:p>
      <w:pPr>
        <w:spacing w:after="80" w:before="0" w:line="276" w:lineRule="auto"/>
        <w:jc w:val="left"/>
      </w:pPr>
      <w:r>
        <w:rPr>
          <w:rFonts w:ascii="Times New Roman" w:hAnsi="Times New Roman"/>
          <w:b w:val="0"/>
          <w:i w:val="0"/>
          <w:color w:val="000000"/>
          <w:sz w:val="22"/>
        </w:rPr>
        <w:t>Table 2.1  Comparative Analysis of Existing Agritech Platforms vs. Cotton Mitra</w:t>
        <w:tab/>
        <w:t>6</w:t>
      </w:r>
    </w:p>
    <w:p>
      <w:pPr>
        <w:spacing w:after="80" w:before="0" w:line="276" w:lineRule="auto"/>
        <w:jc w:val="left"/>
      </w:pPr>
      <w:r>
        <w:rPr>
          <w:rFonts w:ascii="Times New Roman" w:hAnsi="Times New Roman"/>
          <w:b w:val="0"/>
          <w:i w:val="0"/>
          <w:color w:val="000000"/>
          <w:sz w:val="22"/>
        </w:rPr>
        <w:t>Table 3.1  Cotton Mitra Multi-Tier Architectural Technology Stack</w:t>
        <w:tab/>
        <w:t>16</w:t>
      </w:r>
    </w:p>
    <w:p>
      <w:pPr>
        <w:spacing w:after="80" w:before="0" w:line="276" w:lineRule="auto"/>
        <w:jc w:val="left"/>
      </w:pPr>
      <w:r>
        <w:rPr>
          <w:rFonts w:ascii="Times New Roman" w:hAnsi="Times New Roman"/>
          <w:b w:val="0"/>
          <w:i w:val="0"/>
          <w:color w:val="000000"/>
          <w:sz w:val="22"/>
        </w:rPr>
        <w:t>Table 3.2  Econometric and Environmental Features for ML Forecast Model</w:t>
        <w:tab/>
        <w:t>25</w:t>
      </w:r>
    </w:p>
    <w:p>
      <w:pPr>
        <w:spacing w:after="80" w:before="0" w:line="276" w:lineRule="auto"/>
        <w:jc w:val="left"/>
      </w:pPr>
      <w:r>
        <w:rPr>
          <w:rFonts w:ascii="Times New Roman" w:hAnsi="Times New Roman"/>
          <w:b w:val="0"/>
          <w:i w:val="0"/>
          <w:color w:val="000000"/>
          <w:sz w:val="22"/>
        </w:rPr>
        <w:t>Table 4.1  Soil Physicochemical Parameters and Cotton Agro-Ecological Thresholds</w:t>
        <w:tab/>
        <w:t>29</w:t>
      </w:r>
    </w:p>
    <w:p>
      <w:pPr>
        <w:spacing w:after="80" w:before="0" w:line="276" w:lineRule="auto"/>
        <w:jc w:val="left"/>
      </w:pPr>
      <w:r>
        <w:rPr>
          <w:rFonts w:ascii="Times New Roman" w:hAnsi="Times New Roman"/>
          <w:b w:val="0"/>
          <w:i w:val="0"/>
          <w:color w:val="000000"/>
          <w:sz w:val="22"/>
        </w:rPr>
        <w:t>Table 4.2  Soil Nutrient Fertility Rating Classes and Fertilizer Adjustment Factors</w:t>
        <w:tab/>
        <w:t>41</w:t>
      </w:r>
    </w:p>
    <w:p>
      <w:pPr>
        <w:spacing w:after="80" w:before="0" w:line="276" w:lineRule="auto"/>
        <w:jc w:val="left"/>
      </w:pPr>
      <w:r>
        <w:rPr>
          <w:rFonts w:ascii="Times New Roman" w:hAnsi="Times New Roman"/>
          <w:b w:val="0"/>
          <w:i w:val="0"/>
          <w:color w:val="000000"/>
          <w:sz w:val="22"/>
        </w:rPr>
        <w:t>Table 4.3  Commercial Fertilizer Formulations and Nutrient Conversion Equivalents</w:t>
        <w:tab/>
        <w:t>44</w:t>
      </w:r>
    </w:p>
    <w:p>
      <w:pPr>
        <w:spacing w:after="80" w:before="0" w:line="276" w:lineRule="auto"/>
        <w:jc w:val="left"/>
      </w:pPr>
      <w:r>
        <w:rPr>
          <w:rFonts w:ascii="Times New Roman" w:hAnsi="Times New Roman"/>
          <w:b w:val="0"/>
          <w:i w:val="0"/>
          <w:color w:val="000000"/>
          <w:sz w:val="22"/>
        </w:rPr>
        <w:t>Table 4.4  Recommended Stage-Wise Split Fertilizer Application Schedule for Cotton</w:t>
        <w:tab/>
        <w:t>48</w:t>
      </w:r>
    </w:p>
    <w:p>
      <w:pPr>
        <w:spacing w:after="80" w:before="0" w:line="276" w:lineRule="auto"/>
        <w:jc w:val="left"/>
      </w:pPr>
      <w:r>
        <w:rPr>
          <w:rFonts w:ascii="Times New Roman" w:hAnsi="Times New Roman"/>
          <w:b w:val="0"/>
          <w:i w:val="0"/>
          <w:color w:val="000000"/>
          <w:sz w:val="22"/>
        </w:rPr>
        <w:t>Table 5.1  Performance Benchmark of Predictive Regression Models on Cotton Dataset</w:t>
        <w:tab/>
        <w:t>55</w:t>
      </w:r>
    </w:p>
    <w:p>
      <w:pPr>
        <w:spacing w:after="80" w:before="0" w:line="276" w:lineRule="auto"/>
        <w:jc w:val="left"/>
      </w:pPr>
      <w:r>
        <w:rPr>
          <w:rFonts w:ascii="Times New Roman" w:hAnsi="Times New Roman"/>
          <w:b w:val="0"/>
          <w:i w:val="0"/>
          <w:color w:val="000000"/>
          <w:sz w:val="22"/>
        </w:rPr>
        <w:t>Table 5.2  Quarterly Cotton Consumption Forecast and Trend Projection Summary</w:t>
        <w:tab/>
        <w:t>57</w:t>
      </w:r>
    </w:p>
    <w:p>
      <w:pPr>
        <w:spacing w:after="80" w:before="0" w:line="276" w:lineRule="auto"/>
        <w:jc w:val="left"/>
      </w:pPr>
      <w:r>
        <w:rPr>
          <w:rFonts w:ascii="Times New Roman" w:hAnsi="Times New Roman"/>
          <w:b w:val="0"/>
          <w:i w:val="0"/>
          <w:color w:val="000000"/>
          <w:sz w:val="22"/>
        </w:rPr>
        <w:t>Table 5.3  Warehouse Environmental Telemetry Thresholds and Risk Classifications</w:t>
        <w:tab/>
        <w:t>60</w:t>
      </w:r>
    </w:p>
    <w:p>
      <w:pPr>
        <w:spacing w:after="80" w:before="0" w:line="276" w:lineRule="auto"/>
        <w:jc w:val="left"/>
      </w:pPr>
      <w:r>
        <w:rPr>
          <w:rFonts w:ascii="Times New Roman" w:hAnsi="Times New Roman"/>
          <w:b w:val="0"/>
          <w:i w:val="0"/>
          <w:color w:val="000000"/>
          <w:sz w:val="22"/>
        </w:rPr>
        <w:t>Table 6.1  Cotton Mitra Direct Alignment Matrix with UN Sustainable Development Goals</w:t>
        <w:tab/>
        <w:t>68</w:t>
      </w:r>
    </w:p>
    <w:p>
      <w:r>
        <w:br w:type="page"/>
      </w:r>
    </w:p>
    <w:p>
      <w:pPr>
        <w:spacing w:before="0" w:after="360"/>
        <w:jc w:val="center"/>
      </w:pPr>
      <w:r>
        <w:rPr>
          <w:rFonts w:ascii="Times New Roman" w:hAnsi="Times New Roman"/>
          <w:b/>
          <w:sz w:val="32"/>
        </w:rPr>
        <w:t>LIST OF FIGURES</w:t>
      </w:r>
    </w:p>
    <w:p>
      <w:pPr>
        <w:tabs>
          <w:tab w:pos="7654" w:val="right" w:leader="hyphen"/>
        </w:tabs>
        <w:spacing w:after="60" w:before="60"/>
      </w:pPr>
      <w:r/>
    </w:p>
    <w:p>
      <w:pPr>
        <w:spacing w:after="80" w:before="0" w:line="276" w:lineRule="auto"/>
        <w:jc w:val="left"/>
      </w:pPr>
      <w:r>
        <w:rPr>
          <w:rFonts w:ascii="Times New Roman" w:hAnsi="Times New Roman"/>
          <w:b w:val="0"/>
          <w:i w:val="0"/>
          <w:color w:val="000000"/>
          <w:sz w:val="22"/>
        </w:rPr>
        <w:t>Figure 1.1  Cotton Supply Chain Information Asymmetry and Stakeholder Disconnect</w:t>
        <w:tab/>
        <w:t>2</w:t>
      </w:r>
    </w:p>
    <w:p>
      <w:pPr>
        <w:spacing w:after="80" w:before="0" w:line="276" w:lineRule="auto"/>
        <w:jc w:val="left"/>
      </w:pPr>
      <w:r>
        <w:rPr>
          <w:rFonts w:ascii="Times New Roman" w:hAnsi="Times New Roman"/>
          <w:b w:val="0"/>
          <w:i w:val="0"/>
          <w:color w:val="000000"/>
          <w:sz w:val="22"/>
        </w:rPr>
        <w:t>Figure 2.1  Evolutionary Paradigm from Traditional Agriculture to Cyber-Physical Agritech</w:t>
        <w:tab/>
        <w:t>4</w:t>
      </w:r>
    </w:p>
    <w:p>
      <w:pPr>
        <w:spacing w:after="80" w:before="0" w:line="276" w:lineRule="auto"/>
        <w:jc w:val="left"/>
      </w:pPr>
      <w:r>
        <w:rPr>
          <w:rFonts w:ascii="Times New Roman" w:hAnsi="Times New Roman"/>
          <w:b w:val="0"/>
          <w:i w:val="0"/>
          <w:color w:val="000000"/>
          <w:sz w:val="22"/>
        </w:rPr>
        <w:t>Figure 3.1  Cotton Mitra Dual-Portal High-Level System Architecture</w:t>
        <w:tab/>
        <w:t>9</w:t>
      </w:r>
    </w:p>
    <w:p>
      <w:pPr>
        <w:spacing w:after="80" w:before="0" w:line="276" w:lineRule="auto"/>
        <w:jc w:val="left"/>
      </w:pPr>
      <w:r>
        <w:rPr>
          <w:rFonts w:ascii="Times New Roman" w:hAnsi="Times New Roman"/>
          <w:b w:val="0"/>
          <w:i w:val="0"/>
          <w:color w:val="000000"/>
          <w:sz w:val="22"/>
        </w:rPr>
        <w:t>Figure 3.2  Complete End-to-End Operational Workflow of the Cotton Mitra Platform</w:t>
        <w:tab/>
        <w:t>20</w:t>
      </w:r>
    </w:p>
    <w:p>
      <w:pPr>
        <w:spacing w:after="80" w:before="0" w:line="276" w:lineRule="auto"/>
        <w:jc w:val="left"/>
      </w:pPr>
      <w:r>
        <w:rPr>
          <w:rFonts w:ascii="Times New Roman" w:hAnsi="Times New Roman"/>
          <w:b w:val="0"/>
          <w:i w:val="0"/>
          <w:color w:val="000000"/>
          <w:sz w:val="22"/>
        </w:rPr>
        <w:t>Figure 3.3  Layered Microservices and Data Flow Architecture</w:t>
        <w:tab/>
        <w:t>22</w:t>
      </w:r>
    </w:p>
    <w:p>
      <w:pPr>
        <w:spacing w:after="80" w:before="0" w:line="276" w:lineRule="auto"/>
        <w:jc w:val="left"/>
      </w:pPr>
      <w:r>
        <w:rPr>
          <w:rFonts w:ascii="Times New Roman" w:hAnsi="Times New Roman"/>
          <w:b w:val="0"/>
          <w:i w:val="0"/>
          <w:color w:val="000000"/>
          <w:sz w:val="22"/>
        </w:rPr>
        <w:t>Figure 3.4  Data Preprocessing, Temporal Sorting, and Lag Feature Engineering Pipeline</w:t>
        <w:tab/>
        <w:t>24</w:t>
      </w:r>
    </w:p>
    <w:p>
      <w:pPr>
        <w:spacing w:after="80" w:before="0" w:line="276" w:lineRule="auto"/>
        <w:jc w:val="left"/>
      </w:pPr>
      <w:r>
        <w:rPr>
          <w:rFonts w:ascii="Times New Roman" w:hAnsi="Times New Roman"/>
          <w:b w:val="0"/>
          <w:i w:val="0"/>
          <w:color w:val="000000"/>
          <w:sz w:val="22"/>
        </w:rPr>
        <w:t>Figure 4.1  Precision Crop Recommendation Diagnostic Processing Pipeline</w:t>
        <w:tab/>
        <w:t>29</w:t>
      </w:r>
    </w:p>
    <w:p>
      <w:pPr>
        <w:spacing w:after="80" w:before="0" w:line="276" w:lineRule="auto"/>
        <w:jc w:val="left"/>
      </w:pPr>
      <w:r>
        <w:rPr>
          <w:rFonts w:ascii="Times New Roman" w:hAnsi="Times New Roman"/>
          <w:b w:val="0"/>
          <w:i w:val="0"/>
          <w:color w:val="000000"/>
          <w:sz w:val="22"/>
        </w:rPr>
        <w:t>Figure 4.2  Random Forest Regressor Decision Tree Ensemble and Bootstrap Aggregation</w:t>
        <w:tab/>
        <w:t>32</w:t>
      </w:r>
    </w:p>
    <w:p>
      <w:pPr>
        <w:spacing w:after="80" w:before="0" w:line="276" w:lineRule="auto"/>
        <w:jc w:val="left"/>
      </w:pPr>
      <w:r>
        <w:rPr>
          <w:rFonts w:ascii="Times New Roman" w:hAnsi="Times New Roman"/>
          <w:b w:val="0"/>
          <w:i w:val="0"/>
          <w:color w:val="000000"/>
          <w:sz w:val="22"/>
        </w:rPr>
        <w:t>Figure 4.3  Flask Machine Learning REST Microservice Architecture and Endpoint Topology</w:t>
        <w:tab/>
        <w:t>36</w:t>
      </w:r>
    </w:p>
    <w:p>
      <w:pPr>
        <w:spacing w:after="80" w:before="0" w:line="276" w:lineRule="auto"/>
        <w:jc w:val="left"/>
      </w:pPr>
      <w:r>
        <w:rPr>
          <w:rFonts w:ascii="Times New Roman" w:hAnsi="Times New Roman"/>
          <w:b w:val="0"/>
          <w:i w:val="0"/>
          <w:color w:val="000000"/>
          <w:sz w:val="22"/>
        </w:rPr>
        <w:t>Figure 4.4  Algorithmic Flowchart for Soil-Test Crop Response (STCR) Fertilizer Engine</w:t>
        <w:tab/>
        <w:t>43</w:t>
      </w:r>
    </w:p>
    <w:p>
      <w:pPr>
        <w:spacing w:after="80" w:before="0" w:line="276" w:lineRule="auto"/>
        <w:jc w:val="left"/>
      </w:pPr>
      <w:r>
        <w:rPr>
          <w:rFonts w:ascii="Times New Roman" w:hAnsi="Times New Roman"/>
          <w:b w:val="0"/>
          <w:i w:val="0"/>
          <w:color w:val="000000"/>
          <w:sz w:val="22"/>
        </w:rPr>
        <w:t>Figure 4.5  Automated Soil Health Card and Diagnostic Output Generation Pipeline</w:t>
        <w:tab/>
        <w:t>50</w:t>
      </w:r>
    </w:p>
    <w:p>
      <w:pPr>
        <w:spacing w:after="80" w:before="0" w:line="276" w:lineRule="auto"/>
        <w:jc w:val="left"/>
      </w:pPr>
      <w:r>
        <w:rPr>
          <w:rFonts w:ascii="Times New Roman" w:hAnsi="Times New Roman"/>
          <w:b w:val="0"/>
          <w:i w:val="0"/>
          <w:color w:val="000000"/>
          <w:sz w:val="22"/>
        </w:rPr>
        <w:t>Figure 5.1  Actual vs. Predicted Monthly Cotton Consumption in India (2025–2026)</w:t>
        <w:tab/>
        <w:t>56</w:t>
      </w:r>
    </w:p>
    <w:p>
      <w:pPr>
        <w:spacing w:after="80" w:before="0" w:line="276" w:lineRule="auto"/>
        <w:jc w:val="left"/>
      </w:pPr>
      <w:r>
        <w:rPr>
          <w:rFonts w:ascii="Times New Roman" w:hAnsi="Times New Roman"/>
          <w:b w:val="0"/>
          <w:i w:val="0"/>
          <w:color w:val="000000"/>
          <w:sz w:val="22"/>
        </w:rPr>
        <w:t>Figure 5.2  Warehouse Ambient Humidity and Temperature Telemetry Distribution</w:t>
        <w:tab/>
        <w:t>60</w:t>
      </w:r>
    </w:p>
    <w:p>
      <w:pPr>
        <w:spacing w:after="80" w:before="0" w:line="276" w:lineRule="auto"/>
        <w:jc w:val="left"/>
      </w:pPr>
      <w:r>
        <w:rPr>
          <w:rFonts w:ascii="Times New Roman" w:hAnsi="Times New Roman"/>
          <w:b w:val="0"/>
          <w:i w:val="0"/>
          <w:color w:val="000000"/>
          <w:sz w:val="22"/>
        </w:rPr>
        <w:t>Figure 6.1  Cotton Mitra Socio-Economic Value Creation Framework for Farming Communities</w:t>
        <w:tab/>
        <w:t>67</w:t>
      </w:r>
    </w:p>
    <w:p>
      <w:pPr>
        <w:tabs>
          <w:tab w:pos="7654" w:val="right" w:leader="hyphen"/>
        </w:tabs>
        <w:spacing w:after="60" w:before="60"/>
      </w:pPr>
      <w:r>
        <w:rPr>
          <w:rFonts w:ascii="Times New Roman" w:hAnsi="Times New Roman"/>
          <w:b w:val="0"/>
          <w:sz w:val="24"/>
        </w:rPr>
        <w:t>Figure 2.1  [Figure Title]</w:t>
        <w:tab/>
        <w:t>[Page]</w:t>
      </w:r>
    </w:p>
    <w:p>
      <w:pPr>
        <w:tabs>
          <w:tab w:pos="7654" w:val="right" w:leader="hyphen"/>
        </w:tabs>
        <w:spacing w:after="60" w:before="60"/>
      </w:pPr>
      <w:r>
        <w:rPr>
          <w:rFonts w:ascii="Times New Roman" w:hAnsi="Times New Roman"/>
          <w:b w:val="0"/>
          <w:sz w:val="24"/>
        </w:rPr>
        <w:t>Figure 3.1  [Figure Title]</w:t>
        <w:tab/>
        <w:t>[Page]</w:t>
      </w:r>
    </w:p>
    <w:p>
      <w:pPr>
        <w:spacing w:after="120"/>
        <w:jc w:val="left"/>
      </w:pPr>
      <w:r/>
    </w:p>
    <w:p>
      <w:pPr>
        <w:spacing w:after="80" w:before="0" w:line="276" w:lineRule="auto"/>
        <w:jc w:val="left"/>
      </w:pPr>
      <w:r>
        <w:rPr>
          <w:rFonts w:ascii="Times New Roman" w:hAnsi="Times New Roman"/>
          <w:b w:val="0"/>
          <w:i w:val="0"/>
          <w:color w:val="000000"/>
          <w:sz w:val="22"/>
        </w:rPr>
        <w:t>Figure 1.1  Cotton Supply Chain Information Asymmetry and Stakeholder Disconnect</w:t>
        <w:tab/>
        <w:t>2</w:t>
      </w:r>
    </w:p>
    <w:p>
      <w:pPr>
        <w:spacing w:after="80" w:before="0" w:line="276" w:lineRule="auto"/>
        <w:jc w:val="left"/>
      </w:pPr>
      <w:r>
        <w:rPr>
          <w:rFonts w:ascii="Times New Roman" w:hAnsi="Times New Roman"/>
          <w:b w:val="0"/>
          <w:i w:val="0"/>
          <w:color w:val="000000"/>
          <w:sz w:val="22"/>
        </w:rPr>
        <w:t>Figure 2.1  Evolutionary Paradigm from Traditional Agriculture to Cyber-Physical Agritech</w:t>
        <w:tab/>
        <w:t>4</w:t>
      </w:r>
    </w:p>
    <w:p>
      <w:pPr>
        <w:spacing w:after="80" w:before="0" w:line="276" w:lineRule="auto"/>
        <w:jc w:val="left"/>
      </w:pPr>
      <w:r>
        <w:rPr>
          <w:rFonts w:ascii="Times New Roman" w:hAnsi="Times New Roman"/>
          <w:b w:val="0"/>
          <w:i w:val="0"/>
          <w:color w:val="000000"/>
          <w:sz w:val="22"/>
        </w:rPr>
        <w:t>Figure 3.1  Cotton Mitra Dual-Portal High-Level System Architecture</w:t>
        <w:tab/>
        <w:t>9</w:t>
      </w:r>
    </w:p>
    <w:p>
      <w:pPr>
        <w:spacing w:after="80" w:before="0" w:line="276" w:lineRule="auto"/>
        <w:jc w:val="left"/>
      </w:pPr>
      <w:r>
        <w:rPr>
          <w:rFonts w:ascii="Times New Roman" w:hAnsi="Times New Roman"/>
          <w:b w:val="0"/>
          <w:i w:val="0"/>
          <w:color w:val="000000"/>
          <w:sz w:val="22"/>
        </w:rPr>
        <w:t>Figure 3.2  Complete End-to-End Operational Workflow of the Cotton Mitra Platform</w:t>
        <w:tab/>
        <w:t>20</w:t>
      </w:r>
    </w:p>
    <w:p>
      <w:pPr>
        <w:spacing w:after="80" w:before="0" w:line="276" w:lineRule="auto"/>
        <w:jc w:val="left"/>
      </w:pPr>
      <w:r>
        <w:rPr>
          <w:rFonts w:ascii="Times New Roman" w:hAnsi="Times New Roman"/>
          <w:b w:val="0"/>
          <w:i w:val="0"/>
          <w:color w:val="000000"/>
          <w:sz w:val="22"/>
        </w:rPr>
        <w:t>Figure 3.3  Layered Microservices and Data Flow Architecture</w:t>
        <w:tab/>
        <w:t>22</w:t>
      </w:r>
    </w:p>
    <w:p>
      <w:pPr>
        <w:spacing w:after="80" w:before="0" w:line="276" w:lineRule="auto"/>
        <w:jc w:val="left"/>
      </w:pPr>
      <w:r>
        <w:rPr>
          <w:rFonts w:ascii="Times New Roman" w:hAnsi="Times New Roman"/>
          <w:b w:val="0"/>
          <w:i w:val="0"/>
          <w:color w:val="000000"/>
          <w:sz w:val="22"/>
        </w:rPr>
        <w:t>Figure 3.4  Data Preprocessing, Temporal Sorting, and Lag Feature Engineering Pipeline</w:t>
        <w:tab/>
        <w:t>24</w:t>
      </w:r>
    </w:p>
    <w:p>
      <w:pPr>
        <w:spacing w:after="80" w:before="0" w:line="276" w:lineRule="auto"/>
        <w:jc w:val="left"/>
      </w:pPr>
      <w:r>
        <w:rPr>
          <w:rFonts w:ascii="Times New Roman" w:hAnsi="Times New Roman"/>
          <w:b w:val="0"/>
          <w:i w:val="0"/>
          <w:color w:val="000000"/>
          <w:sz w:val="22"/>
        </w:rPr>
        <w:t>Figure 4.1  Precision Crop Recommendation Diagnostic Processing Pipeline</w:t>
        <w:tab/>
        <w:t>29</w:t>
      </w:r>
    </w:p>
    <w:p>
      <w:pPr>
        <w:spacing w:after="80" w:before="0" w:line="276" w:lineRule="auto"/>
        <w:jc w:val="left"/>
      </w:pPr>
      <w:r>
        <w:rPr>
          <w:rFonts w:ascii="Times New Roman" w:hAnsi="Times New Roman"/>
          <w:b w:val="0"/>
          <w:i w:val="0"/>
          <w:color w:val="000000"/>
          <w:sz w:val="22"/>
        </w:rPr>
        <w:t>Figure 4.2  Random Forest Regressor Decision Tree Ensemble and Bootstrap Aggregation</w:t>
        <w:tab/>
        <w:t>32</w:t>
      </w:r>
    </w:p>
    <w:p>
      <w:pPr>
        <w:spacing w:after="80" w:before="0" w:line="276" w:lineRule="auto"/>
        <w:jc w:val="left"/>
      </w:pPr>
      <w:r>
        <w:rPr>
          <w:rFonts w:ascii="Times New Roman" w:hAnsi="Times New Roman"/>
          <w:b w:val="0"/>
          <w:i w:val="0"/>
          <w:color w:val="000000"/>
          <w:sz w:val="22"/>
        </w:rPr>
        <w:t>Figure 4.3  Flask Machine Learning REST Microservice Architecture and Endpoint Topology</w:t>
        <w:tab/>
        <w:t>36</w:t>
      </w:r>
    </w:p>
    <w:p>
      <w:pPr>
        <w:spacing w:after="80" w:before="0" w:line="276" w:lineRule="auto"/>
        <w:jc w:val="left"/>
      </w:pPr>
      <w:r>
        <w:rPr>
          <w:rFonts w:ascii="Times New Roman" w:hAnsi="Times New Roman"/>
          <w:b w:val="0"/>
          <w:i w:val="0"/>
          <w:color w:val="000000"/>
          <w:sz w:val="22"/>
        </w:rPr>
        <w:t>Figure 4.4  Algorithmic Flowchart for Soil-Test Crop Response (STCR) Fertilizer Engine</w:t>
        <w:tab/>
        <w:t>43</w:t>
      </w:r>
    </w:p>
    <w:p>
      <w:pPr>
        <w:spacing w:after="80" w:before="0" w:line="276" w:lineRule="auto"/>
        <w:jc w:val="left"/>
      </w:pPr>
      <w:r>
        <w:rPr>
          <w:rFonts w:ascii="Times New Roman" w:hAnsi="Times New Roman"/>
          <w:b w:val="0"/>
          <w:i w:val="0"/>
          <w:color w:val="000000"/>
          <w:sz w:val="22"/>
        </w:rPr>
        <w:t>Figure 4.5  Automated Soil Health Card and Diagnostic Output Generation Pipeline</w:t>
        <w:tab/>
        <w:t>50</w:t>
      </w:r>
    </w:p>
    <w:p>
      <w:pPr>
        <w:spacing w:after="80" w:before="0" w:line="276" w:lineRule="auto"/>
        <w:jc w:val="left"/>
      </w:pPr>
      <w:r>
        <w:rPr>
          <w:rFonts w:ascii="Times New Roman" w:hAnsi="Times New Roman"/>
          <w:b w:val="0"/>
          <w:i w:val="0"/>
          <w:color w:val="000000"/>
          <w:sz w:val="22"/>
        </w:rPr>
        <w:t>Figure 5.1  Actual vs. Predicted Monthly Cotton Consumption in India (2025–2026)</w:t>
        <w:tab/>
        <w:t>56</w:t>
      </w:r>
    </w:p>
    <w:p>
      <w:pPr>
        <w:spacing w:after="80" w:before="0" w:line="276" w:lineRule="auto"/>
        <w:jc w:val="left"/>
      </w:pPr>
      <w:r>
        <w:rPr>
          <w:rFonts w:ascii="Times New Roman" w:hAnsi="Times New Roman"/>
          <w:b w:val="0"/>
          <w:i w:val="0"/>
          <w:color w:val="000000"/>
          <w:sz w:val="22"/>
        </w:rPr>
        <w:t>Figure 5.2  Warehouse Ambient Humidity and Temperature Telemetry Distribution</w:t>
        <w:tab/>
        <w:t>60</w:t>
      </w:r>
    </w:p>
    <w:p>
      <w:pPr>
        <w:spacing w:after="80" w:before="0" w:line="276" w:lineRule="auto"/>
        <w:jc w:val="left"/>
      </w:pPr>
      <w:r>
        <w:rPr>
          <w:rFonts w:ascii="Times New Roman" w:hAnsi="Times New Roman"/>
          <w:b w:val="0"/>
          <w:i w:val="0"/>
          <w:color w:val="000000"/>
          <w:sz w:val="22"/>
        </w:rPr>
        <w:t>Figure 6.1  Cotton Mitra Socio-Economic Value Creation Framework for Farming Communities</w:t>
        <w:tab/>
        <w:t>67</w:t>
      </w:r>
    </w:p>
    <w:p>
      <w:r>
        <w:br w:type="page"/>
      </w:r>
    </w:p>
    <w:p>
      <w:pPr>
        <w:spacing w:before="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4"/>
              </w:rPr>
              <w:t>Abbreviation</w:t>
            </w:r>
          </w:p>
        </w:tc>
        <w:tc>
          <w:tcPr>
            <w:tcW w:type="dxa" w:w="4501"/>
          </w:tcPr>
          <w:p>
            <w:r>
              <w:rPr>
                <w:rFonts w:ascii="Times New Roman" w:hAnsi="Times New Roman"/>
                <w:b/>
                <w:sz w:val="24"/>
              </w:rPr>
              <w:t>Full Form</w:t>
            </w:r>
          </w:p>
        </w:tc>
      </w:tr>
      <w:tr>
        <w:tc>
          <w:tcPr>
            <w:tcW w:type="dxa" w:w="4501"/>
          </w:tcPr>
          <w:p>
            <w:r>
              <w:rPr>
                <w:rFonts w:ascii="Times New Roman" w:hAnsi="Times New Roman"/>
                <w:sz w:val="24"/>
              </w:rPr>
              <w:t>ML</w:t>
            </w:r>
          </w:p>
        </w:tc>
        <w:tc>
          <w:tcPr>
            <w:tcW w:type="dxa" w:w="4501"/>
          </w:tcPr>
          <w:p>
            <w:r>
              <w:rPr>
                <w:rFonts w:ascii="Times New Roman" w:hAnsi="Times New Roman"/>
                <w:sz w:val="24"/>
              </w:rPr>
              <w:t>Machine Learning</w:t>
            </w:r>
          </w:p>
        </w:tc>
      </w:tr>
      <w:tr>
        <w:tc>
          <w:tcPr>
            <w:tcW w:type="dxa" w:w="4501"/>
          </w:tcPr>
          <w:p>
            <w:r>
              <w:rPr>
                <w:rFonts w:ascii="Times New Roman" w:hAnsi="Times New Roman"/>
                <w:sz w:val="24"/>
              </w:rPr>
              <w:t>AI</w:t>
            </w:r>
          </w:p>
        </w:tc>
        <w:tc>
          <w:tcPr>
            <w:tcW w:type="dxa" w:w="4501"/>
          </w:tcPr>
          <w:p>
            <w:r>
              <w:rPr>
                <w:rFonts w:ascii="Times New Roman" w:hAnsi="Times New Roman"/>
                <w:sz w:val="24"/>
              </w:rPr>
              <w:t>Artificial Intelligence</w:t>
            </w:r>
          </w:p>
        </w:tc>
      </w:tr>
      <w:tr>
        <w:tc>
          <w:tcPr>
            <w:tcW w:type="dxa" w:w="4501"/>
          </w:tcPr>
          <w:p>
            <w:r>
              <w:rPr>
                <w:rFonts w:ascii="Times New Roman" w:hAnsi="Times New Roman"/>
                <w:sz w:val="24"/>
              </w:rPr>
              <w:t>API</w:t>
            </w:r>
          </w:p>
        </w:tc>
        <w:tc>
          <w:tcPr>
            <w:tcW w:type="dxa" w:w="4501"/>
          </w:tcPr>
          <w:p>
            <w:r>
              <w:rPr>
                <w:rFonts w:ascii="Times New Roman" w:hAnsi="Times New Roman"/>
                <w:sz w:val="24"/>
              </w:rPr>
              <w:t>Application Programming Interface</w:t>
            </w:r>
          </w:p>
        </w:tc>
      </w:tr>
      <w:tr>
        <w:tc>
          <w:tcPr>
            <w:tcW w:type="dxa" w:w="4501"/>
          </w:tcPr>
          <w:p>
            <w:r>
              <w:rPr>
                <w:rFonts w:ascii="Times New Roman" w:hAnsi="Times New Roman"/>
                <w:sz w:val="24"/>
              </w:rPr>
              <w:t>NPK</w:t>
            </w:r>
          </w:p>
        </w:tc>
        <w:tc>
          <w:tcPr>
            <w:tcW w:type="dxa" w:w="4501"/>
          </w:tcPr>
          <w:p>
            <w:r>
              <w:rPr>
                <w:rFonts w:ascii="Times New Roman" w:hAnsi="Times New Roman"/>
                <w:sz w:val="24"/>
              </w:rPr>
              <w:t>Nitrogen, Phosphorus, Potassium</w:t>
            </w:r>
          </w:p>
        </w:tc>
      </w:tr>
      <w:tr>
        <w:tc>
          <w:tcPr>
            <w:tcW w:type="dxa" w:w="4501"/>
          </w:tcPr>
          <w:p>
            <w:r>
              <w:rPr>
                <w:rFonts w:ascii="Times New Roman" w:hAnsi="Times New Roman"/>
                <w:sz w:val="24"/>
              </w:rPr>
              <w:t>IoT</w:t>
            </w:r>
          </w:p>
        </w:tc>
        <w:tc>
          <w:tcPr>
            <w:tcW w:type="dxa" w:w="4501"/>
          </w:tcPr>
          <w:p>
            <w:r>
              <w:rPr>
                <w:rFonts w:ascii="Times New Roman" w:hAnsi="Times New Roman"/>
                <w:sz w:val="24"/>
              </w:rPr>
              <w:t>Internet of Things</w:t>
            </w:r>
          </w:p>
        </w:tc>
      </w:tr>
      <w:tr>
        <w:tc>
          <w:tcPr>
            <w:tcW w:type="dxa" w:w="4501"/>
          </w:tcPr>
          <w:p>
            <w:r>
              <w:rPr>
                <w:rFonts w:ascii="Times New Roman" w:hAnsi="Times New Roman"/>
                <w:sz w:val="24"/>
              </w:rPr>
              <w:t>SDG</w:t>
            </w:r>
          </w:p>
        </w:tc>
        <w:tc>
          <w:tcPr>
            <w:tcW w:type="dxa" w:w="4501"/>
          </w:tcPr>
          <w:p>
            <w:r>
              <w:rPr>
                <w:rFonts w:ascii="Times New Roman" w:hAnsi="Times New Roman"/>
                <w:sz w:val="24"/>
              </w:rPr>
              <w:t>Sustainable Development Goals</w:t>
            </w:r>
          </w:p>
        </w:tc>
      </w:tr>
      <w:tr>
        <w:tc>
          <w:tcPr>
            <w:tcW w:type="dxa" w:w="4501"/>
          </w:tcPr>
          <w:p>
            <w:r>
              <w:rPr>
                <w:rFonts w:ascii="Times New Roman" w:hAnsi="Times New Roman"/>
                <w:sz w:val="24"/>
              </w:rPr>
              <w:t>CO</w:t>
            </w:r>
          </w:p>
        </w:tc>
        <w:tc>
          <w:tcPr>
            <w:tcW w:type="dxa" w:w="4501"/>
          </w:tcPr>
          <w:p>
            <w:r>
              <w:rPr>
                <w:rFonts w:ascii="Times New Roman" w:hAnsi="Times New Roman"/>
                <w:sz w:val="24"/>
              </w:rPr>
              <w:t>Course Outcome</w:t>
            </w:r>
          </w:p>
        </w:tc>
      </w:tr>
      <w:tr>
        <w:tc>
          <w:tcPr>
            <w:tcW w:type="dxa" w:w="4501"/>
          </w:tcPr>
          <w:p>
            <w:r>
              <w:rPr>
                <w:rFonts w:ascii="Times New Roman" w:hAnsi="Times New Roman"/>
                <w:sz w:val="24"/>
              </w:rPr>
              <w:t>PO</w:t>
            </w:r>
          </w:p>
        </w:tc>
        <w:tc>
          <w:tcPr>
            <w:tcW w:type="dxa" w:w="4501"/>
          </w:tcPr>
          <w:p>
            <w:r>
              <w:rPr>
                <w:rFonts w:ascii="Times New Roman" w:hAnsi="Times New Roman"/>
                <w:sz w:val="24"/>
              </w:rPr>
              <w:t>Program Outcome</w:t>
            </w:r>
          </w:p>
        </w:tc>
      </w:tr>
      <w:tr>
        <w:tc>
          <w:tcPr>
            <w:tcW w:type="dxa" w:w="4501"/>
          </w:tcPr>
          <w:p>
            <w:r>
              <w:rPr>
                <w:rFonts w:ascii="Times New Roman" w:hAnsi="Times New Roman"/>
                <w:sz w:val="24"/>
              </w:rPr>
              <w:t>HTML</w:t>
            </w:r>
          </w:p>
        </w:tc>
        <w:tc>
          <w:tcPr>
            <w:tcW w:type="dxa" w:w="4501"/>
          </w:tcPr>
          <w:p>
            <w:r>
              <w:rPr>
                <w:rFonts w:ascii="Times New Roman" w:hAnsi="Times New Roman"/>
                <w:sz w:val="24"/>
              </w:rPr>
              <w:t>HyperText Markup Language</w:t>
            </w:r>
          </w:p>
        </w:tc>
      </w:tr>
      <w:tr>
        <w:tc>
          <w:tcPr>
            <w:tcW w:type="dxa" w:w="4501"/>
          </w:tcPr>
          <w:p>
            <w:r>
              <w:rPr>
                <w:rFonts w:ascii="Times New Roman" w:hAnsi="Times New Roman"/>
                <w:sz w:val="24"/>
              </w:rPr>
              <w:t>CSS</w:t>
            </w:r>
          </w:p>
        </w:tc>
        <w:tc>
          <w:tcPr>
            <w:tcW w:type="dxa" w:w="4501"/>
          </w:tcPr>
          <w:p>
            <w:r>
              <w:rPr>
                <w:rFonts w:ascii="Times New Roman" w:hAnsi="Times New Roman"/>
                <w:sz w:val="24"/>
              </w:rPr>
              <w:t>Cascading Style Sheets</w:t>
            </w:r>
          </w:p>
        </w:tc>
      </w:tr>
      <w:tr>
        <w:tc>
          <w:tcPr>
            <w:tcW w:type="dxa" w:w="4501"/>
          </w:tcPr>
          <w:p>
            <w:r>
              <w:rPr>
                <w:rFonts w:ascii="Times New Roman" w:hAnsi="Times New Roman"/>
                <w:sz w:val="24"/>
              </w:rPr>
              <w:t>REST</w:t>
            </w:r>
          </w:p>
        </w:tc>
        <w:tc>
          <w:tcPr>
            <w:tcW w:type="dxa" w:w="4501"/>
          </w:tcPr>
          <w:p>
            <w:r>
              <w:rPr>
                <w:rFonts w:ascii="Times New Roman" w:hAnsi="Times New Roman"/>
                <w:sz w:val="24"/>
              </w:rPr>
              <w:t>Representational State Transfer</w:t>
            </w:r>
          </w:p>
        </w:tc>
      </w:tr>
    </w:tbl>
    <w:p>
      <w:r>
        <w:br w:type="page"/>
      </w:r>
    </w:p>
    <w:p>
      <w:pPr>
        <w:spacing w:before="0" w:after="360"/>
        <w:jc w:val="center"/>
      </w:pPr>
      <w:r>
        <w:rPr>
          <w:rFonts w:ascii="Times New Roman" w:hAnsi="Times New Roman"/>
          <w:b/>
          <w:sz w:val="32"/>
        </w:rPr>
        <w:t>LIST OF SYMBOLS</w:t>
      </w:r>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4"/>
              </w:rPr>
              <w:t>Symbol</w:t>
            </w:r>
          </w:p>
        </w:tc>
        <w:tc>
          <w:tcPr>
            <w:tcW w:type="dxa" w:w="4501"/>
          </w:tcPr>
          <w:p>
            <w:r>
              <w:rPr>
                <w:rFonts w:ascii="Times New Roman" w:hAnsi="Times New Roman"/>
                <w:b/>
                <w:sz w:val="24"/>
              </w:rPr>
              <w:t>Description</w:t>
            </w:r>
          </w:p>
        </w:tc>
      </w:tr>
      <w:tr>
        <w:tc>
          <w:tcPr>
            <w:tcW w:type="dxa" w:w="4501"/>
          </w:tcPr>
          <w:p>
            <w:r>
              <w:rPr>
                <w:rFonts w:ascii="Times New Roman" w:hAnsi="Times New Roman"/>
                <w:sz w:val="24"/>
              </w:rPr>
              <w:t>N</w:t>
            </w:r>
          </w:p>
        </w:tc>
        <w:tc>
          <w:tcPr>
            <w:tcW w:type="dxa" w:w="4501"/>
          </w:tcPr>
          <w:p>
            <w:r>
              <w:rPr>
                <w:rFonts w:ascii="Times New Roman" w:hAnsi="Times New Roman"/>
                <w:sz w:val="24"/>
              </w:rPr>
              <w:t>Nitrogen content in soil (kg/ha)</w:t>
            </w:r>
          </w:p>
        </w:tc>
      </w:tr>
      <w:tr>
        <w:tc>
          <w:tcPr>
            <w:tcW w:type="dxa" w:w="4501"/>
          </w:tcPr>
          <w:p>
            <w:r>
              <w:rPr>
                <w:rFonts w:ascii="Times New Roman" w:hAnsi="Times New Roman"/>
                <w:sz w:val="24"/>
              </w:rPr>
              <w:t>P</w:t>
            </w:r>
          </w:p>
        </w:tc>
        <w:tc>
          <w:tcPr>
            <w:tcW w:type="dxa" w:w="4501"/>
          </w:tcPr>
          <w:p>
            <w:r>
              <w:rPr>
                <w:rFonts w:ascii="Times New Roman" w:hAnsi="Times New Roman"/>
                <w:sz w:val="24"/>
              </w:rPr>
              <w:t>Phosphorus content in soil (kg/ha)</w:t>
            </w:r>
          </w:p>
        </w:tc>
      </w:tr>
      <w:tr>
        <w:tc>
          <w:tcPr>
            <w:tcW w:type="dxa" w:w="4501"/>
          </w:tcPr>
          <w:p>
            <w:r>
              <w:rPr>
                <w:rFonts w:ascii="Times New Roman" w:hAnsi="Times New Roman"/>
                <w:sz w:val="24"/>
              </w:rPr>
              <w:t>K</w:t>
            </w:r>
          </w:p>
        </w:tc>
        <w:tc>
          <w:tcPr>
            <w:tcW w:type="dxa" w:w="4501"/>
          </w:tcPr>
          <w:p>
            <w:r>
              <w:rPr>
                <w:rFonts w:ascii="Times New Roman" w:hAnsi="Times New Roman"/>
                <w:sz w:val="24"/>
              </w:rPr>
              <w:t>Potassium content in soil (kg/ha)</w:t>
            </w:r>
          </w:p>
        </w:tc>
      </w:tr>
      <w:tr>
        <w:tc>
          <w:tcPr>
            <w:tcW w:type="dxa" w:w="4501"/>
          </w:tcPr>
          <w:p>
            <w:r>
              <w:rPr>
                <w:rFonts w:ascii="Times New Roman" w:hAnsi="Times New Roman"/>
                <w:sz w:val="24"/>
              </w:rPr>
              <w:t>pH</w:t>
            </w:r>
          </w:p>
        </w:tc>
        <w:tc>
          <w:tcPr>
            <w:tcW w:type="dxa" w:w="4501"/>
          </w:tcPr>
          <w:p>
            <w:r>
              <w:rPr>
                <w:rFonts w:ascii="Times New Roman" w:hAnsi="Times New Roman"/>
                <w:sz w:val="24"/>
              </w:rPr>
              <w:t>Soil acidity/alkalinity measure</w:t>
            </w:r>
          </w:p>
        </w:tc>
      </w:tr>
      <w:tr>
        <w:tc>
          <w:tcPr>
            <w:tcW w:type="dxa" w:w="4501"/>
          </w:tcPr>
          <w:p>
            <w:r>
              <w:rPr>
                <w:rFonts w:ascii="Times New Roman" w:hAnsi="Times New Roman"/>
                <w:sz w:val="24"/>
              </w:rPr>
              <w:t>°C</w:t>
            </w:r>
          </w:p>
        </w:tc>
        <w:tc>
          <w:tcPr>
            <w:tcW w:type="dxa" w:w="4501"/>
          </w:tcPr>
          <w:p>
            <w:r>
              <w:rPr>
                <w:rFonts w:ascii="Times New Roman" w:hAnsi="Times New Roman"/>
                <w:sz w:val="24"/>
              </w:rPr>
              <w:t>Degree Celsius (Temperature)</w:t>
            </w:r>
          </w:p>
        </w:tc>
      </w:tr>
      <w:tr>
        <w:tc>
          <w:tcPr>
            <w:tcW w:type="dxa" w:w="4501"/>
          </w:tcPr>
          <w:p>
            <w:r>
              <w:rPr>
                <w:rFonts w:ascii="Times New Roman" w:hAnsi="Times New Roman"/>
                <w:sz w:val="24"/>
              </w:rPr>
              <w:t>%</w:t>
            </w:r>
          </w:p>
        </w:tc>
        <w:tc>
          <w:tcPr>
            <w:tcW w:type="dxa" w:w="4501"/>
          </w:tcPr>
          <w:p>
            <w:r>
              <w:rPr>
                <w:rFonts w:ascii="Times New Roman" w:hAnsi="Times New Roman"/>
                <w:sz w:val="24"/>
              </w:rPr>
              <w:t>Percentage (Humidity)</w:t>
            </w:r>
          </w:p>
        </w:tc>
      </w:tr>
      <w:tr>
        <w:tc>
          <w:tcPr>
            <w:tcW w:type="dxa" w:w="4501"/>
          </w:tcPr>
          <w:p>
            <w:r>
              <w:rPr>
                <w:rFonts w:ascii="Times New Roman" w:hAnsi="Times New Roman"/>
                <w:sz w:val="24"/>
              </w:rPr>
              <w:t>R²</w:t>
            </w:r>
          </w:p>
        </w:tc>
        <w:tc>
          <w:tcPr>
            <w:tcW w:type="dxa" w:w="4501"/>
          </w:tcPr>
          <w:p>
            <w:r>
              <w:rPr>
                <w:rFonts w:ascii="Times New Roman" w:hAnsi="Times New Roman"/>
                <w:sz w:val="24"/>
              </w:rPr>
              <w:t>Coefficient of Determination</w:t>
            </w:r>
          </w:p>
        </w:tc>
      </w:tr>
      <w:tr>
        <w:tc>
          <w:tcPr>
            <w:tcW w:type="dxa" w:w="4501"/>
          </w:tcPr>
          <w:p>
            <w:r>
              <w:rPr>
                <w:rFonts w:ascii="Times New Roman" w:hAnsi="Times New Roman"/>
                <w:sz w:val="24"/>
              </w:rPr>
              <w:t>mm</w:t>
            </w:r>
          </w:p>
        </w:tc>
        <w:tc>
          <w:tcPr>
            <w:tcW w:type="dxa" w:w="4501"/>
          </w:tcPr>
          <w:p>
            <w:r>
              <w:rPr>
                <w:rFonts w:ascii="Times New Roman" w:hAnsi="Times New Roman"/>
                <w:sz w:val="24"/>
              </w:rPr>
              <w:t>Millimeters (Rainfall)</w:t>
            </w:r>
          </w:p>
        </w:tc>
      </w:tr>
    </w:tbl>
    <w:p>
      <w:r>
        <w:br w:type="page"/>
      </w:r>
    </w:p>
    <w:p>
      <w:pPr>
        <w:spacing w:before="0" w:after="480"/>
        <w:jc w:val="center"/>
      </w:pPr>
      <w:r>
        <w:rPr>
          <w:rFonts w:ascii="Times New Roman" w:hAnsi="Times New Roman"/>
          <w:b/>
          <w:sz w:val="32"/>
        </w:rPr>
        <w:t>ABSTRACT</w:t>
      </w:r>
    </w:p>
    <w:p>
      <w:pPr>
        <w:spacing w:after="240"/>
        <w:jc w:val="left"/>
      </w:pPr>
      <w:r>
        <w:rPr>
          <w:rFonts w:ascii="Times New Roman" w:hAnsi="Times New Roman"/>
          <w:b w:val="0"/>
          <w:sz w:val="24"/>
        </w:rPr>
        <w:t>Cotton Mitra is a comprehensive smart cotton farming and warehouse management system designed to bridge the gap between farmers and warehouse owners in the cotton supply chain. The system integrates machine learning-based crop recommendation, fertilizer dose recommendation, soil report generation, and real-time inventory management features into a unified web platform.</w:t>
      </w:r>
    </w:p>
    <w:p>
      <w:pPr>
        <w:spacing w:after="240"/>
        <w:jc w:val="left"/>
      </w:pPr>
      <w:r>
        <w:rPr>
          <w:rFonts w:ascii="Times New Roman" w:hAnsi="Times New Roman"/>
          <w:b w:val="0"/>
          <w:sz w:val="24"/>
        </w:rPr>
        <w:t>The crop recommendation module employs a trained machine learning model that analyzes soil parameters (N, P, K, pH), weather conditions (temperature, humidity, rainfall), and historical data to suggest the most suitable crops. The fertilizer recommendation system calculates optimal fertilizer doses based on soil nutrient levels and crop requirements.</w:t>
      </w:r>
    </w:p>
    <w:p>
      <w:pPr>
        <w:spacing w:after="240"/>
        <w:jc w:val="left"/>
      </w:pPr>
      <w:r>
        <w:rPr>
          <w:rFonts w:ascii="Times New Roman" w:hAnsi="Times New Roman"/>
          <w:b w:val="0"/>
          <w:sz w:val="24"/>
        </w:rPr>
        <w:t>The warehouse management dashboard provides real-time monitoring of cotton inventory, shipment tracking, yield forecasting, and environmental alerts. A farmer portal enables direct communication between farmers and warehouse owners through a secure messaging system.</w:t>
      </w:r>
    </w:p>
    <w:p>
      <w:pPr>
        <w:spacing w:after="120"/>
        <w:jc w:val="left"/>
      </w:pPr>
      <w:r>
        <w:rPr>
          <w:rFonts w:ascii="Times New Roman" w:hAnsi="Times New Roman"/>
          <w:b/>
          <w:sz w:val="24"/>
        </w:rPr>
        <w:t>Keywords: Cotton Farming, Machine Learning, Crop Recommendation, Fertilizer Recommendation, Warehouse Management, Smart Agriculture, IoT</w:t>
      </w:r>
    </w:p>
    <w:p>
      <w:r>
        <w:br w:type="page"/>
      </w:r>
    </w:p>
    <w:p>
      <w:pPr>
        <w:spacing w:before="0" w:after="360"/>
        <w:jc w:val="center"/>
      </w:pPr>
      <w:r>
        <w:rPr>
          <w:rFonts w:ascii="Times New Roman" w:hAnsi="Times New Roman"/>
          <w:b/>
          <w:sz w:val="32"/>
        </w:rPr>
        <w:t>PROJECT CO-PO MATRIX</w:t>
      </w:r>
    </w:p>
    <w:p>
      <w:pPr>
        <w:spacing w:after="160" w:before="0" w:line="276" w:lineRule="auto"/>
        <w:jc w:val="both"/>
      </w:pPr>
      <w:r>
        <w:rPr>
          <w:rFonts w:ascii="Times New Roman" w:hAnsi="Times New Roman"/>
          <w:b w:val="0"/>
          <w:i w:val="0"/>
          <w:color w:val="000000"/>
          <w:sz w:val="24"/>
        </w:rPr>
        <w:t>The Course Outcomes (COs) for the Cotton Mitra project are formulated in alignment with the National Board of Accreditation (NBA) and Outcome-Based Education (OBE) guidelines. These outcomes represent the specialized engineering competencies, domain insights, and practical software engineering skills acquired and demonstrated through the design, implementation, and evaluation of this cyber-physical agricultural software platform.</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600"/>
        <w:gridCol w:w="600"/>
        <w:gridCol w:w="600"/>
        <w:gridCol w:w="600"/>
        <w:gridCol w:w="600"/>
        <w:gridCol w:w="600"/>
        <w:gridCol w:w="600"/>
        <w:gridCol w:w="600"/>
        <w:gridCol w:w="600"/>
        <w:gridCol w:w="600"/>
        <w:gridCol w:w="600"/>
        <w:gridCol w:w="600"/>
        <w:gridCol w:w="600"/>
        <w:gridCol w:w="600"/>
        <w:gridCol w:w="600"/>
      </w:tblGrid>
      <w:tr>
        <w:tc>
          <w:tcPr>
            <w:tcW w:type="dxa" w:w="600"/>
            <w:shd w:fill="1F497D"/>
          </w:tcPr>
          <w:p>
            <w:pPr>
              <w:spacing w:after="80" w:before="80"/>
              <w:jc w:val="center"/>
            </w:pPr>
            <w:r>
              <w:rPr>
                <w:rFonts w:ascii="Times New Roman" w:hAnsi="Times New Roman"/>
                <w:b/>
                <w:color w:val="FFFFFF"/>
                <w:sz w:val="20"/>
              </w:rPr>
              <w:t>CO</w:t>
            </w:r>
          </w:p>
        </w:tc>
        <w:tc>
          <w:tcPr>
            <w:tcW w:type="dxa" w:w="600"/>
            <w:shd w:fill="1F497D"/>
          </w:tcPr>
          <w:p>
            <w:pPr>
              <w:spacing w:after="80" w:before="80"/>
              <w:jc w:val="center"/>
            </w:pPr>
            <w:r>
              <w:rPr>
                <w:rFonts w:ascii="Times New Roman" w:hAnsi="Times New Roman"/>
                <w:b/>
                <w:color w:val="FFFFFF"/>
                <w:sz w:val="20"/>
              </w:rPr>
              <w:t>PO1</w:t>
            </w:r>
          </w:p>
        </w:tc>
        <w:tc>
          <w:tcPr>
            <w:tcW w:type="dxa" w:w="600"/>
            <w:shd w:fill="1F497D"/>
          </w:tcPr>
          <w:p>
            <w:pPr>
              <w:spacing w:after="80" w:before="80"/>
              <w:jc w:val="center"/>
            </w:pPr>
            <w:r>
              <w:rPr>
                <w:rFonts w:ascii="Times New Roman" w:hAnsi="Times New Roman"/>
                <w:b/>
                <w:color w:val="FFFFFF"/>
                <w:sz w:val="20"/>
              </w:rPr>
              <w:t>PO2</w:t>
            </w:r>
          </w:p>
        </w:tc>
        <w:tc>
          <w:tcPr>
            <w:tcW w:type="dxa" w:w="600"/>
            <w:shd w:fill="1F497D"/>
          </w:tcPr>
          <w:p>
            <w:pPr>
              <w:spacing w:after="80" w:before="80"/>
              <w:jc w:val="center"/>
            </w:pPr>
            <w:r>
              <w:rPr>
                <w:rFonts w:ascii="Times New Roman" w:hAnsi="Times New Roman"/>
                <w:b/>
                <w:color w:val="FFFFFF"/>
                <w:sz w:val="20"/>
              </w:rPr>
              <w:t>PO3</w:t>
            </w:r>
          </w:p>
        </w:tc>
        <w:tc>
          <w:tcPr>
            <w:tcW w:type="dxa" w:w="600"/>
            <w:shd w:fill="1F497D"/>
          </w:tcPr>
          <w:p>
            <w:pPr>
              <w:spacing w:after="80" w:before="80"/>
              <w:jc w:val="center"/>
            </w:pPr>
            <w:r>
              <w:rPr>
                <w:rFonts w:ascii="Times New Roman" w:hAnsi="Times New Roman"/>
                <w:b/>
                <w:color w:val="FFFFFF"/>
                <w:sz w:val="20"/>
              </w:rPr>
              <w:t>PO4</w:t>
            </w:r>
          </w:p>
        </w:tc>
        <w:tc>
          <w:tcPr>
            <w:tcW w:type="dxa" w:w="600"/>
            <w:shd w:fill="1F497D"/>
          </w:tcPr>
          <w:p>
            <w:pPr>
              <w:spacing w:after="80" w:before="80"/>
              <w:jc w:val="center"/>
            </w:pPr>
            <w:r>
              <w:rPr>
                <w:rFonts w:ascii="Times New Roman" w:hAnsi="Times New Roman"/>
                <w:b/>
                <w:color w:val="FFFFFF"/>
                <w:sz w:val="20"/>
              </w:rPr>
              <w:t>PO5</w:t>
            </w:r>
          </w:p>
        </w:tc>
        <w:tc>
          <w:tcPr>
            <w:tcW w:type="dxa" w:w="600"/>
            <w:shd w:fill="1F497D"/>
          </w:tcPr>
          <w:p>
            <w:pPr>
              <w:spacing w:after="80" w:before="80"/>
              <w:jc w:val="center"/>
            </w:pPr>
            <w:r>
              <w:rPr>
                <w:rFonts w:ascii="Times New Roman" w:hAnsi="Times New Roman"/>
                <w:b/>
                <w:color w:val="FFFFFF"/>
                <w:sz w:val="20"/>
              </w:rPr>
              <w:t>PO6</w:t>
            </w:r>
          </w:p>
        </w:tc>
        <w:tc>
          <w:tcPr>
            <w:tcW w:type="dxa" w:w="600"/>
            <w:shd w:fill="1F497D"/>
          </w:tcPr>
          <w:p>
            <w:pPr>
              <w:spacing w:after="80" w:before="80"/>
              <w:jc w:val="center"/>
            </w:pPr>
            <w:r>
              <w:rPr>
                <w:rFonts w:ascii="Times New Roman" w:hAnsi="Times New Roman"/>
                <w:b/>
                <w:color w:val="FFFFFF"/>
                <w:sz w:val="20"/>
              </w:rPr>
              <w:t>PO7</w:t>
            </w:r>
          </w:p>
        </w:tc>
        <w:tc>
          <w:tcPr>
            <w:tcW w:type="dxa" w:w="600"/>
            <w:shd w:fill="1F497D"/>
          </w:tcPr>
          <w:p>
            <w:pPr>
              <w:spacing w:after="80" w:before="80"/>
              <w:jc w:val="center"/>
            </w:pPr>
            <w:r>
              <w:rPr>
                <w:rFonts w:ascii="Times New Roman" w:hAnsi="Times New Roman"/>
                <w:b/>
                <w:color w:val="FFFFFF"/>
                <w:sz w:val="20"/>
              </w:rPr>
              <w:t>PO8</w:t>
            </w:r>
          </w:p>
        </w:tc>
        <w:tc>
          <w:tcPr>
            <w:tcW w:type="dxa" w:w="600"/>
            <w:shd w:fill="1F497D"/>
          </w:tcPr>
          <w:p>
            <w:pPr>
              <w:spacing w:after="80" w:before="80"/>
              <w:jc w:val="center"/>
            </w:pPr>
            <w:r>
              <w:rPr>
                <w:rFonts w:ascii="Times New Roman" w:hAnsi="Times New Roman"/>
                <w:b/>
                <w:color w:val="FFFFFF"/>
                <w:sz w:val="20"/>
              </w:rPr>
              <w:t>PO9</w:t>
            </w:r>
          </w:p>
        </w:tc>
        <w:tc>
          <w:tcPr>
            <w:tcW w:type="dxa" w:w="600"/>
            <w:shd w:fill="1F497D"/>
          </w:tcPr>
          <w:p>
            <w:pPr>
              <w:spacing w:after="80" w:before="80"/>
              <w:jc w:val="center"/>
            </w:pPr>
            <w:r>
              <w:rPr>
                <w:rFonts w:ascii="Times New Roman" w:hAnsi="Times New Roman"/>
                <w:b/>
                <w:color w:val="FFFFFF"/>
                <w:sz w:val="20"/>
              </w:rPr>
              <w:t>PO10</w:t>
            </w:r>
          </w:p>
        </w:tc>
        <w:tc>
          <w:tcPr>
            <w:tcW w:type="dxa" w:w="600"/>
            <w:shd w:fill="1F497D"/>
          </w:tcPr>
          <w:p>
            <w:pPr>
              <w:spacing w:after="80" w:before="80"/>
              <w:jc w:val="center"/>
            </w:pPr>
            <w:r>
              <w:rPr>
                <w:rFonts w:ascii="Times New Roman" w:hAnsi="Times New Roman"/>
                <w:b/>
                <w:color w:val="FFFFFF"/>
                <w:sz w:val="20"/>
              </w:rPr>
              <w:t>PO11</w:t>
            </w:r>
          </w:p>
        </w:tc>
        <w:tc>
          <w:tcPr>
            <w:tcW w:type="dxa" w:w="600"/>
            <w:shd w:fill="1F497D"/>
          </w:tcPr>
          <w:p>
            <w:pPr>
              <w:spacing w:after="80" w:before="80"/>
              <w:jc w:val="center"/>
            </w:pPr>
            <w:r>
              <w:rPr>
                <w:rFonts w:ascii="Times New Roman" w:hAnsi="Times New Roman"/>
                <w:b/>
                <w:color w:val="FFFFFF"/>
                <w:sz w:val="20"/>
              </w:rPr>
              <w:t>PO12</w:t>
            </w:r>
          </w:p>
        </w:tc>
        <w:tc>
          <w:tcPr>
            <w:tcW w:type="dxa" w:w="600"/>
            <w:shd w:fill="1F497D"/>
          </w:tcPr>
          <w:p>
            <w:pPr>
              <w:spacing w:after="80" w:before="80"/>
              <w:jc w:val="center"/>
            </w:pPr>
            <w:r>
              <w:rPr>
                <w:rFonts w:ascii="Times New Roman" w:hAnsi="Times New Roman"/>
                <w:b/>
                <w:color w:val="FFFFFF"/>
                <w:sz w:val="20"/>
              </w:rPr>
              <w:t>PSO1</w:t>
            </w:r>
          </w:p>
        </w:tc>
        <w:tc>
          <w:tcPr>
            <w:tcW w:type="dxa" w:w="600"/>
            <w:shd w:fill="1F497D"/>
          </w:tcPr>
          <w:p>
            <w:pPr>
              <w:spacing w:after="80" w:before="80"/>
              <w:jc w:val="center"/>
            </w:pPr>
            <w:r>
              <w:rPr>
                <w:rFonts w:ascii="Times New Roman" w:hAnsi="Times New Roman"/>
                <w:b/>
                <w:color w:val="FFFFFF"/>
                <w:sz w:val="20"/>
              </w:rPr>
              <w:t>PSO2</w:t>
            </w:r>
          </w:p>
        </w:tc>
      </w:tr>
      <w:tr>
        <w:tc>
          <w:tcPr>
            <w:tcW w:type="dxa" w:w="600"/>
            <w:shd w:fill="F2F5F9"/>
          </w:tcPr>
          <w:p>
            <w:pPr>
              <w:spacing w:after="60" w:before="60"/>
            </w:pPr>
            <w:r>
              <w:rPr>
                <w:rFonts w:ascii="Times New Roman" w:hAnsi="Times New Roman"/>
                <w:color w:val="1E1E1E"/>
                <w:sz w:val="19"/>
              </w:rPr>
              <w:t>CO1</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1</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1</w:t>
            </w:r>
          </w:p>
        </w:tc>
        <w:tc>
          <w:tcPr>
            <w:tcW w:type="dxa" w:w="600"/>
            <w:shd w:fill="F2F5F9"/>
          </w:tcPr>
          <w:p>
            <w:pPr>
              <w:spacing w:after="60" w:before="60"/>
              <w:jc w:val="center"/>
            </w:pPr>
            <w:r>
              <w:rPr>
                <w:rFonts w:ascii="Times New Roman" w:hAnsi="Times New Roman"/>
                <w:color w:val="1E1E1E"/>
                <w:sz w:val="19"/>
              </w:rPr>
              <w:t>1</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r>
      <w:tr>
        <w:tc>
          <w:tcPr>
            <w:tcW w:type="dxa" w:w="600"/>
          </w:tcPr>
          <w:p>
            <w:pPr>
              <w:spacing w:after="60" w:before="60"/>
            </w:pPr>
            <w:r>
              <w:rPr>
                <w:rFonts w:ascii="Times New Roman" w:hAnsi="Times New Roman"/>
                <w:color w:val="1E1E1E"/>
                <w:sz w:val="19"/>
              </w:rPr>
              <w:t>CO2</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1</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1</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r>
      <w:tr>
        <w:tc>
          <w:tcPr>
            <w:tcW w:type="dxa" w:w="600"/>
            <w:shd w:fill="F2F5F9"/>
          </w:tcPr>
          <w:p>
            <w:pPr>
              <w:spacing w:after="60" w:before="60"/>
            </w:pPr>
            <w:r>
              <w:rPr>
                <w:rFonts w:ascii="Times New Roman" w:hAnsi="Times New Roman"/>
                <w:color w:val="1E1E1E"/>
                <w:sz w:val="19"/>
              </w:rPr>
              <w:t>CO3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1</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r>
      <w:tr>
        <w:tc>
          <w:tcPr>
            <w:tcW w:type="dxa" w:w="600"/>
          </w:tcPr>
          <w:p>
            <w:pPr>
              <w:spacing w:after="60" w:before="60"/>
            </w:pPr>
            <w:r>
              <w:rPr>
                <w:rFonts w:ascii="Times New Roman" w:hAnsi="Times New Roman"/>
                <w:color w:val="1E1E1E"/>
                <w:sz w:val="19"/>
              </w:rPr>
              <w:t>CO4</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1</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3</w:t>
            </w:r>
          </w:p>
        </w:tc>
        <w:tc>
          <w:tcPr>
            <w:tcW w:type="dxa" w:w="600"/>
          </w:tcPr>
          <w:p>
            <w:pPr>
              <w:spacing w:after="60" w:before="60"/>
              <w:jc w:val="center"/>
            </w:pPr>
            <w:r>
              <w:rPr>
                <w:rFonts w:ascii="Times New Roman" w:hAnsi="Times New Roman"/>
                <w:color w:val="1E1E1E"/>
                <w:sz w:val="19"/>
              </w:rPr>
              <w:t>2</w:t>
            </w:r>
          </w:p>
        </w:tc>
      </w:tr>
      <w:tr>
        <w:tc>
          <w:tcPr>
            <w:tcW w:type="dxa" w:w="600"/>
            <w:shd w:fill="F2F5F9"/>
          </w:tcPr>
          <w:p>
            <w:pPr>
              <w:spacing w:after="60" w:before="60"/>
            </w:pPr>
            <w:r>
              <w:rPr>
                <w:rFonts w:ascii="Times New Roman" w:hAnsi="Times New Roman"/>
                <w:color w:val="1E1E1E"/>
                <w:sz w:val="19"/>
              </w:rPr>
              <w:t>CO5</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3</w:t>
            </w:r>
          </w:p>
        </w:tc>
        <w:tc>
          <w:tcPr>
            <w:tcW w:type="dxa" w:w="600"/>
            <w:shd w:fill="F2F5F9"/>
          </w:tcPr>
          <w:p>
            <w:pPr>
              <w:spacing w:after="60" w:before="60"/>
              <w:jc w:val="center"/>
            </w:pPr>
            <w:r>
              <w:rPr>
                <w:rFonts w:ascii="Times New Roman" w:hAnsi="Times New Roman"/>
                <w:color w:val="1E1E1E"/>
                <w:sz w:val="19"/>
              </w:rPr>
              <w:t>2</w:t>
            </w:r>
          </w:p>
        </w:tc>
        <w:tc>
          <w:tcPr>
            <w:tcW w:type="dxa" w:w="600"/>
            <w:shd w:fill="F2F5F9"/>
          </w:tcPr>
          <w:p>
            <w:pPr>
              <w:spacing w:after="60" w:before="60"/>
              <w:jc w:val="center"/>
            </w:pPr>
            <w:r>
              <w:rPr>
                <w:rFonts w:ascii="Times New Roman" w:hAnsi="Times New Roman"/>
                <w:color w:val="1E1E1E"/>
                <w:sz w:val="19"/>
              </w:rPr>
              <w:t>3</w:t>
            </w:r>
          </w:p>
        </w:tc>
      </w:tr>
    </w:tbl>
    <w:p>
      <w:pPr>
        <w:spacing w:after="240" w:before="0" w:line="276" w:lineRule="auto"/>
        <w:jc w:val="both"/>
      </w:pPr>
      <w:r>
        <w:rPr>
          <w:rFonts w:ascii="Times New Roman" w:hAnsi="Times New Roman"/>
          <w:b w:val="0"/>
          <w:i w:val="0"/>
          <w:color w:val="000000"/>
          <w:sz w:val="22"/>
        </w:rPr>
        <w:t>Justification of CO-PO-PSO Mapping:</w:t>
        <w:br/>
        <w:t>• PO1 (Engineering Knowledge) is strongly addressed (Level 3) across all COs through the rigorous application of mathematics, computing fundamentals, and regression algorithms.</w:t>
        <w:br/>
        <w:t>• PO2 (Problem Analysis) and PO3 (Design/Development of Solutions) are addressed at Level 3 through comprehensive requirement engineering, soil chemistry modelling, and full-stack software architecture.</w:t>
        <w:br/>
        <w:t>• PO4 (Investigations of Complex Problems) and PO5 (Modern Tool Usage) correlate strongly with the deployment of Scikit-Learn, Random Forest ensembles, MongoDB, Node.js, and WebSocket communication.</w:t>
        <w:br/>
        <w:t>• PO6 (Engineer &amp; Society) and PO7 (Environment &amp; Sustainability) receive high mapping (Level 3) because Cotton Mitra directly empowers distressed smallholder farmers and promotes soil conservation through balanced fertilization.</w:t>
        <w:br/>
        <w:t>• PO8 (Ethics) is addressed via AES-256 end-to-end cryptographic privacy for farm trade negotiations.</w:t>
        <w:br/>
        <w:t>• PO11 &amp; PO12 (Project Management &amp; Lifelong Learning) are achieved through full product-lifecycle implementation and adaptation to dynamic agritech advances.</w:t>
        <w:br/>
        <w:t>• PSO1 &amp; PSO2 (Computer Science &amp; Applied AI) correlate at Level 3 due to state-of-the-art enterprise software engineering and data science integration.</w:t>
      </w:r>
    </w:p>
    <w:p>
      <w:pPr>
        <w:spacing w:after="80" w:before="0" w:line="276" w:lineRule="auto"/>
        <w:jc w:val="both"/>
      </w:pPr>
      <w:r>
        <w:rPr>
          <w:rFonts w:ascii="Times New Roman" w:hAnsi="Times New Roman"/>
          <w:b w:val="0"/>
          <w:i w:val="0"/>
          <w:color w:val="000000"/>
          <w:sz w:val="22"/>
        </w:rPr>
        <w:t>• CO1: Analyze and formulate engineering solutions for agricultural supply chain inefficiencies, post-harvest losses, and soil health management in cotton cultivation.</w:t>
      </w:r>
    </w:p>
    <w:p>
      <w:pPr>
        <w:spacing w:after="80" w:before="0" w:line="276" w:lineRule="auto"/>
        <w:jc w:val="both"/>
      </w:pPr>
      <w:r>
        <w:rPr>
          <w:rFonts w:ascii="Times New Roman" w:hAnsi="Times New Roman"/>
          <w:b w:val="0"/>
          <w:i w:val="0"/>
          <w:color w:val="000000"/>
          <w:sz w:val="22"/>
        </w:rPr>
        <w:t>• CO2: Design, train, and validate supervised machine learning models (Random Forest regression) for cotton consumption forecasting and demand estimation.</w:t>
      </w:r>
    </w:p>
    <w:p>
      <w:pPr>
        <w:spacing w:after="80" w:before="0" w:line="276" w:lineRule="auto"/>
        <w:jc w:val="both"/>
      </w:pPr>
      <w:r>
        <w:rPr>
          <w:rFonts w:ascii="Times New Roman" w:hAnsi="Times New Roman"/>
          <w:b w:val="0"/>
          <w:i w:val="0"/>
          <w:color w:val="000000"/>
          <w:sz w:val="22"/>
        </w:rPr>
        <w:t>• CO3: Architect and develop an asynchronous full-stack web platform using Node.js, Express, Flask, and MongoDB with dual specialized user interfaces.</w:t>
      </w:r>
    </w:p>
    <w:p>
      <w:pPr>
        <w:spacing w:after="80" w:before="0" w:line="276" w:lineRule="auto"/>
        <w:jc w:val="both"/>
      </w:pPr>
      <w:r>
        <w:rPr>
          <w:rFonts w:ascii="Times New Roman" w:hAnsi="Times New Roman"/>
          <w:b w:val="0"/>
          <w:i w:val="0"/>
          <w:color w:val="000000"/>
          <w:sz w:val="22"/>
        </w:rPr>
        <w:t>• CO4: Implement cyber-secure, real-time communication protocols (AES-256 encrypted WebSockets) and IoT environmental monitoring telemetry with threshold alerts.</w:t>
      </w:r>
    </w:p>
    <w:p>
      <w:pPr>
        <w:spacing w:after="80" w:before="0" w:line="276" w:lineRule="auto"/>
        <w:jc w:val="both"/>
      </w:pPr>
      <w:r>
        <w:rPr>
          <w:rFonts w:ascii="Times New Roman" w:hAnsi="Times New Roman"/>
          <w:b w:val="0"/>
          <w:i w:val="0"/>
          <w:color w:val="000000"/>
          <w:sz w:val="22"/>
        </w:rPr>
        <w:t>• CO5: Evaluate system efficacy through statistical performance metrics (R², RMSE, MAE), conduct economic and social utility assessments, and map project outcomes to UN Sustainable Development Goals.</w:t>
      </w:r>
    </w:p>
    <w:p>
      <w:pPr>
        <w:spacing w:after="240"/>
        <w:jc w:val="left"/>
      </w:pPr>
      <w:r>
        <w:rPr>
          <w:rFonts w:ascii="Times New Roman" w:hAnsi="Times New Roman"/>
          <w:b w:val="0"/>
          <w:sz w:val="24"/>
        </w:rPr>
        <w:t>The CO-PO matrix maps the Course Outcomes (CO) of this project to the Program Outcomes (PO) as defined by the university curriculum framework.</w:t>
      </w:r>
    </w:p>
    <w:p>
      <w:r>
        <w:br w:type="page"/>
      </w:r>
    </w:p>
    <w:p>
      <w:pPr>
        <w:spacing w:before="960" w:after="120"/>
        <w:jc w:val="center"/>
      </w:pPr>
      <w:r>
        <w:rPr>
          <w:rFonts w:ascii="Times New Roman" w:hAnsi="Times New Roman"/>
          <w:b/>
          <w:sz w:val="36"/>
        </w:rPr>
        <w:t>CHAPTER 1</w:t>
      </w:r>
    </w:p>
    <w:p>
      <w:pPr>
        <w:spacing w:before="0" w:after="480"/>
        <w:jc w:val="center"/>
      </w:pPr>
      <w:r>
        <w:rPr>
          <w:rFonts w:ascii="Times New Roman" w:hAnsi="Times New Roman"/>
          <w:b/>
          <w:sz w:val="32"/>
        </w:rPr>
        <w:t>INTRODUCTION</w:t>
      </w:r>
    </w:p>
    <w:p>
      <w:pPr>
        <w:spacing w:before="360" w:after="120"/>
      </w:pPr>
      <w:r>
        <w:rPr>
          <w:rFonts w:ascii="Times New Roman" w:hAnsi="Times New Roman"/>
          <w:b/>
          <w:sz w:val="28"/>
        </w:rPr>
        <w:t>1.1  Overview</w:t>
      </w:r>
    </w:p>
    <w:p>
      <w:pPr>
        <w:spacing w:after="120" w:before="0" w:line="276" w:lineRule="auto"/>
        <w:jc w:val="both"/>
      </w:pPr>
      <w:r>
        <w:rPr>
          <w:rFonts w:ascii="Times New Roman" w:hAnsi="Times New Roman"/>
          <w:b w:val="0"/>
          <w:i w:val="0"/>
          <w:color w:val="000000"/>
          <w:sz w:val="24"/>
        </w:rPr>
        <w:t>Cotton (Gossypium hirsutum L.), popularly revered as 'White Gold', is among the most pivotal commercial cash crops globally and forms the bedrock of India's agrarian economy and textile industrial sector. India holds the distinguished status of being the world's largest producer and second-largest exporter of cotton, supporting the livelihoods of over 6 million smallholder farmers directly and employing more than 50 million people in allied ginning, spinning, processing, and garmenting industries across prominent cotton belts such as Vidarbha and Marathwada in Maharashtra, Gujarat, Telangana, and Punjab. Despite its immense economic footprint, cotton cultivation and its subsequent post-harvest management remain fraught with systemic vulnerabilities, structural information asymmetry, and technological disenfranchisement.</w:t>
      </w:r>
    </w:p>
    <w:p>
      <w:pPr>
        <w:spacing w:after="120" w:before="0" w:line="276" w:lineRule="auto"/>
        <w:jc w:val="both"/>
      </w:pPr>
      <w:r>
        <w:rPr>
          <w:rFonts w:ascii="Times New Roman" w:hAnsi="Times New Roman"/>
          <w:b w:val="0"/>
          <w:i w:val="0"/>
          <w:color w:val="000000"/>
          <w:sz w:val="24"/>
        </w:rPr>
        <w:t>The traditional cotton farming cycle is characterized by fragmented decision-making. At the pre-sowing stage, farmers routinely face severe uncertainty regarding soil chemical balance, optimal crop rotation compatibility, and precise mineral nutrition. This often leads to either catastrophic crop failures or excessive, uncalibrated fertilizer applications that deplete farmer capital and degrade arable soil quality. At the post-harvest stage, the lack of decentralized scientific storage facilities forces growers into immediate distress selling to local middlemen (Adatyas and commission agents) at prices drastically below the Minimum Support Price (MSP) or ruling spot market indices. Meanwhile, warehouse operators struggle with suboptimal inventory tracking, unmonitored storage microclimates that trigger microbial fiber degradation, and an absence of data-driven demand forecasting.</w:t>
      </w:r>
    </w:p>
    <w:p>
      <w:pPr>
        <w:spacing w:after="120" w:before="0" w:line="276" w:lineRule="auto"/>
        <w:jc w:val="both"/>
      </w:pPr>
      <w:r>
        <w:rPr>
          <w:rFonts w:ascii="Times New Roman" w:hAnsi="Times New Roman"/>
          <w:b w:val="0"/>
          <w:i w:val="0"/>
          <w:color w:val="000000"/>
          <w:sz w:val="24"/>
        </w:rPr>
        <w:t>Cotton Mitra ('Friend of the Cotton Farmer') is conceived and engineered as an innovative, end-to-end cyber-physical software ecosystem that bridges the structural divide between grassroots cotton producers and commercial warehouse managers. By unifying machine learning-powered econometric forecasting, precision soil nutrient diagnostic engines, real-time Internet of Things (IoT) warehouse environmental telemetry, automated inventory aging risk management, and peer-to-peer end-to-end encrypted direct negotiation channels, Cotton Mitra transforms the traditional fragmented cotton supply chain into a transparent, scientifically managed, and digitally orchestrated agri-industrial network.</w:t>
      </w:r>
    </w:p>
    <w:p>
      <w:pPr>
        <w:spacing w:before="360" w:after="120"/>
      </w:pPr>
      <w:r>
        <w:rPr>
          <w:rFonts w:ascii="Times New Roman" w:hAnsi="Times New Roman"/>
          <w:b/>
          <w:sz w:val="28"/>
        </w:rPr>
        <w:t>1.2  Problem Statement</w:t>
      </w:r>
    </w:p>
    <w:p>
      <w:pPr>
        <w:spacing w:after="120" w:before="0" w:line="276" w:lineRule="auto"/>
        <w:jc w:val="both"/>
      </w:pPr>
      <w:r>
        <w:rPr>
          <w:rFonts w:ascii="Times New Roman" w:hAnsi="Times New Roman"/>
          <w:b w:val="0"/>
          <w:i w:val="0"/>
          <w:color w:val="000000"/>
          <w:sz w:val="24"/>
        </w:rPr>
        <w:t>The modern cotton ecosystem in developing agricultural nations like India suffers from four acute, interrelated systemic crises that compromise farming sustainability and supply chain efficiency:</w:t>
      </w:r>
    </w:p>
    <w:p>
      <w:pPr>
        <w:spacing w:after="120" w:before="0" w:line="276" w:lineRule="auto"/>
        <w:jc w:val="both"/>
      </w:pPr>
      <w:r>
        <w:rPr>
          <w:rFonts w:ascii="Times New Roman" w:hAnsi="Times New Roman"/>
          <w:b w:val="0"/>
          <w:i w:val="0"/>
          <w:color w:val="000000"/>
          <w:sz w:val="24"/>
        </w:rPr>
        <w:t>1. Severe Soil Degradation and Unscientific Nutrient Management: Due to lack of accessible, personalized soil testing facilities and automated advisory systems, farmers predominantly rely on empirical guesswork or retailer-driven recommendations. This results in severe nitrogen over-application, micronutrient depletion (particularly Zinc, Boron, and Magnesium), soil acidification, and groundwater contamination, alongside escalating operational input expenditures.</w:t>
      </w:r>
    </w:p>
    <w:p>
      <w:pPr>
        <w:spacing w:after="120" w:before="0" w:line="276" w:lineRule="auto"/>
        <w:jc w:val="both"/>
      </w:pPr>
      <w:r>
        <w:rPr>
          <w:rFonts w:ascii="Times New Roman" w:hAnsi="Times New Roman"/>
          <w:b w:val="0"/>
          <w:i w:val="0"/>
          <w:color w:val="000000"/>
          <w:sz w:val="24"/>
        </w:rPr>
        <w:t>2. Exploitative Intermediation and Price Asymmetry: Smallholder cotton growers have virtually zero direct communication channels with institutional buyers or modern warehouse facilities. Exploitative intermediary networks capitalize on this structural gap, extracting massive commissions (often 12% to 20% of net produce value) while imposing arbitrary quality grading deductions that push farmers into cyclical rural indebtedness.</w:t>
      </w:r>
    </w:p>
    <w:p>
      <w:pPr>
        <w:spacing w:after="120" w:before="0" w:line="276" w:lineRule="auto"/>
        <w:jc w:val="both"/>
      </w:pPr>
      <w:r>
        <w:rPr>
          <w:rFonts w:ascii="Times New Roman" w:hAnsi="Times New Roman"/>
          <w:b w:val="0"/>
          <w:i w:val="0"/>
          <w:color w:val="000000"/>
          <w:sz w:val="24"/>
        </w:rPr>
        <w:t>3. Post-Harvest Storage Loss and Fiber Degradation: Cotton is a highly hygroscopic organic fiber exceptionally vulnerable to ambient humidity and temperature fluctuations. In traditional unmonitored godowns and warehouses, uncontrolled relative humidity exceeding 60% leads to lint yellowing, microbial mold growth, staple fiber tensile weakening, and spontaneous combustion hazards. Furthermore, the absence of automated aging lot tracking results in cotton bales lingering beyond 90 days, suffering steep commercial depreciation.</w:t>
      </w:r>
    </w:p>
    <w:p>
      <w:pPr>
        <w:spacing w:after="120" w:before="0" w:line="276" w:lineRule="auto"/>
        <w:jc w:val="both"/>
      </w:pPr>
      <w:r>
        <w:rPr>
          <w:rFonts w:ascii="Times New Roman" w:hAnsi="Times New Roman"/>
          <w:b w:val="0"/>
          <w:i w:val="0"/>
          <w:color w:val="000000"/>
          <w:sz w:val="24"/>
        </w:rPr>
        <w:t>4. Absence of Accessible Predictive Market Intelligence: Warehouse managers and farming cooperatives lack localized, predictive forecasting models that synthesize macroeconomic trends, textile industrial indices, historical price lags, and seasonal precipitation patterns. Consequently, inventory procurement and release decisions remain purely reactive, causing catastrophic bullwhip effects across the agricultural supply chain.</w:t>
      </w:r>
    </w:p>
    <w:p>
      <w:pPr>
        <w:spacing w:before="360" w:after="120"/>
      </w:pPr>
      <w:r>
        <w:rPr>
          <w:rFonts w:ascii="Times New Roman" w:hAnsi="Times New Roman"/>
          <w:b/>
          <w:sz w:val="28"/>
        </w:rPr>
        <w:t>1.3  Thesis Objectives</w:t>
      </w:r>
    </w:p>
    <w:p>
      <w:pPr>
        <w:spacing w:after="200" w:before="0" w:line="276" w:lineRule="auto"/>
        <w:jc w:val="center"/>
      </w:pPr>
      <w:r>
        <w:rPr>
          <w:rFonts w:ascii="Times New Roman" w:hAnsi="Times New Roman"/>
          <w:b/>
          <w:i/>
          <w:color w:val="000000"/>
          <w:sz w:val="20"/>
        </w:rPr>
        <w:t>Table 1.1: Functional and Non-Functional Technical Specifications of Cotton Mitra</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3001"/>
        <w:gridCol w:w="3001"/>
        <w:gridCol w:w="3001"/>
      </w:tblGrid>
      <w:tr>
        <w:tc>
          <w:tcPr>
            <w:tcW w:type="dxa" w:w="3001"/>
            <w:shd w:fill="1F497D"/>
          </w:tcPr>
          <w:p>
            <w:pPr>
              <w:spacing w:after="80" w:before="80"/>
              <w:jc w:val="center"/>
            </w:pPr>
            <w:r>
              <w:rPr>
                <w:rFonts w:ascii="Times New Roman" w:hAnsi="Times New Roman"/>
                <w:b/>
                <w:color w:val="FFFFFF"/>
                <w:sz w:val="20"/>
              </w:rPr>
              <w:t>Specification Category</w:t>
            </w:r>
          </w:p>
        </w:tc>
        <w:tc>
          <w:tcPr>
            <w:tcW w:type="dxa" w:w="3001"/>
            <w:shd w:fill="1F497D"/>
          </w:tcPr>
          <w:p>
            <w:pPr>
              <w:spacing w:after="80" w:before="80"/>
              <w:jc w:val="center"/>
            </w:pPr>
            <w:r>
              <w:rPr>
                <w:rFonts w:ascii="Times New Roman" w:hAnsi="Times New Roman"/>
                <w:b/>
                <w:color w:val="FFFFFF"/>
                <w:sz w:val="20"/>
              </w:rPr>
              <w:t>Functional Requirement</w:t>
            </w:r>
          </w:p>
        </w:tc>
        <w:tc>
          <w:tcPr>
            <w:tcW w:type="dxa" w:w="3001"/>
            <w:shd w:fill="1F497D"/>
          </w:tcPr>
          <w:p>
            <w:pPr>
              <w:spacing w:after="80" w:before="80"/>
              <w:jc w:val="center"/>
            </w:pPr>
            <w:r>
              <w:rPr>
                <w:rFonts w:ascii="Times New Roman" w:hAnsi="Times New Roman"/>
                <w:b/>
                <w:color w:val="FFFFFF"/>
                <w:sz w:val="20"/>
              </w:rPr>
              <w:t>Target Technical Metric</w:t>
            </w:r>
          </w:p>
        </w:tc>
      </w:tr>
      <w:tr>
        <w:tc>
          <w:tcPr>
            <w:tcW w:type="dxa" w:w="3001"/>
            <w:shd w:fill="F2F5F9"/>
          </w:tcPr>
          <w:p>
            <w:pPr>
              <w:spacing w:after="60" w:before="60"/>
            </w:pPr>
            <w:r>
              <w:rPr>
                <w:rFonts w:ascii="Times New Roman" w:hAnsi="Times New Roman"/>
                <w:color w:val="1E1E1E"/>
                <w:sz w:val="19"/>
              </w:rPr>
              <w:t>Nutrient Diagnosis</w:t>
            </w:r>
          </w:p>
        </w:tc>
        <w:tc>
          <w:tcPr>
            <w:tcW w:type="dxa" w:w="3001"/>
            <w:shd w:fill="F2F5F9"/>
          </w:tcPr>
          <w:p>
            <w:pPr>
              <w:spacing w:after="60" w:before="60"/>
            </w:pPr>
            <w:r>
              <w:rPr>
                <w:rFonts w:ascii="Times New Roman" w:hAnsi="Times New Roman"/>
                <w:color w:val="1E1E1E"/>
                <w:sz w:val="19"/>
              </w:rPr>
              <w:t>STCR soil test fertilizer dose calculation</w:t>
            </w:r>
          </w:p>
        </w:tc>
        <w:tc>
          <w:tcPr>
            <w:tcW w:type="dxa" w:w="3001"/>
            <w:shd w:fill="F2F5F9"/>
          </w:tcPr>
          <w:p>
            <w:pPr>
              <w:spacing w:after="60" w:before="60"/>
            </w:pPr>
            <w:r>
              <w:rPr>
                <w:rFonts w:ascii="Times New Roman" w:hAnsi="Times New Roman"/>
                <w:color w:val="1E1E1E"/>
                <w:sz w:val="19"/>
              </w:rPr>
              <w:t>NPK accuracy within ±5% of ICAR standards</w:t>
            </w:r>
          </w:p>
        </w:tc>
      </w:tr>
      <w:tr>
        <w:tc>
          <w:tcPr>
            <w:tcW w:type="dxa" w:w="3001"/>
          </w:tcPr>
          <w:p>
            <w:pPr>
              <w:spacing w:after="60" w:before="60"/>
            </w:pPr>
            <w:r>
              <w:rPr>
                <w:rFonts w:ascii="Times New Roman" w:hAnsi="Times New Roman"/>
                <w:color w:val="1E1E1E"/>
                <w:sz w:val="19"/>
              </w:rPr>
              <w:t>Demand Forecasting</w:t>
            </w:r>
          </w:p>
        </w:tc>
        <w:tc>
          <w:tcPr>
            <w:tcW w:type="dxa" w:w="3001"/>
          </w:tcPr>
          <w:p>
            <w:pPr>
              <w:spacing w:after="60" w:before="60"/>
            </w:pPr>
            <w:r>
              <w:rPr>
                <w:rFonts w:ascii="Times New Roman" w:hAnsi="Times New Roman"/>
                <w:color w:val="1E1E1E"/>
                <w:sz w:val="19"/>
              </w:rPr>
              <w:t>Monthly cotton consumption regression</w:t>
            </w:r>
          </w:p>
        </w:tc>
        <w:tc>
          <w:tcPr>
            <w:tcW w:type="dxa" w:w="3001"/>
          </w:tcPr>
          <w:p>
            <w:pPr>
              <w:spacing w:after="60" w:before="60"/>
            </w:pPr>
            <w:r>
              <w:rPr>
                <w:rFonts w:ascii="Times New Roman" w:hAnsi="Times New Roman"/>
                <w:color w:val="1E1E1E"/>
                <w:sz w:val="19"/>
              </w:rPr>
              <w:t>R² &gt; 0.90, MAPE &lt; 3.0% over 3-month horizon</w:t>
            </w:r>
          </w:p>
        </w:tc>
      </w:tr>
      <w:tr>
        <w:tc>
          <w:tcPr>
            <w:tcW w:type="dxa" w:w="3001"/>
            <w:shd w:fill="F2F5F9"/>
          </w:tcPr>
          <w:p>
            <w:pPr>
              <w:spacing w:after="60" w:before="60"/>
            </w:pPr>
            <w:r>
              <w:rPr>
                <w:rFonts w:ascii="Times New Roman" w:hAnsi="Times New Roman"/>
                <w:color w:val="1E1E1E"/>
                <w:sz w:val="19"/>
              </w:rPr>
              <w:t>Storage Telemetry</w:t>
            </w:r>
          </w:p>
        </w:tc>
        <w:tc>
          <w:tcPr>
            <w:tcW w:type="dxa" w:w="3001"/>
            <w:shd w:fill="F2F5F9"/>
          </w:tcPr>
          <w:p>
            <w:pPr>
              <w:spacing w:after="60" w:before="60"/>
            </w:pPr>
            <w:r>
              <w:rPr>
                <w:rFonts w:ascii="Times New Roman" w:hAnsi="Times New Roman"/>
                <w:color w:val="1E1E1E"/>
                <w:sz w:val="19"/>
              </w:rPr>
              <w:t>Ambient humidity &amp; temperature monitoring</w:t>
            </w:r>
          </w:p>
        </w:tc>
        <w:tc>
          <w:tcPr>
            <w:tcW w:type="dxa" w:w="3001"/>
            <w:shd w:fill="F2F5F9"/>
          </w:tcPr>
          <w:p>
            <w:pPr>
              <w:spacing w:after="60" w:before="60"/>
            </w:pPr>
            <w:r>
              <w:rPr>
                <w:rFonts w:ascii="Times New Roman" w:hAnsi="Times New Roman"/>
                <w:color w:val="1E1E1E"/>
                <w:sz w:val="19"/>
              </w:rPr>
              <w:t>Alert dispatch &lt; 500 ms upon &gt;60% RH breach</w:t>
            </w:r>
          </w:p>
        </w:tc>
      </w:tr>
      <w:tr>
        <w:tc>
          <w:tcPr>
            <w:tcW w:type="dxa" w:w="3001"/>
          </w:tcPr>
          <w:p>
            <w:pPr>
              <w:spacing w:after="60" w:before="60"/>
            </w:pPr>
            <w:r>
              <w:rPr>
                <w:rFonts w:ascii="Times New Roman" w:hAnsi="Times New Roman"/>
                <w:color w:val="1E1E1E"/>
                <w:sz w:val="19"/>
              </w:rPr>
              <w:t>Direct Negotiation</w:t>
            </w:r>
          </w:p>
        </w:tc>
        <w:tc>
          <w:tcPr>
            <w:tcW w:type="dxa" w:w="3001"/>
          </w:tcPr>
          <w:p>
            <w:pPr>
              <w:spacing w:after="60" w:before="60"/>
            </w:pPr>
            <w:r>
              <w:rPr>
                <w:rFonts w:ascii="Times New Roman" w:hAnsi="Times New Roman"/>
                <w:color w:val="1E1E1E"/>
                <w:sz w:val="19"/>
              </w:rPr>
              <w:t>Duplex peer-to-peer farmer-buyer chat</w:t>
            </w:r>
          </w:p>
        </w:tc>
        <w:tc>
          <w:tcPr>
            <w:tcW w:type="dxa" w:w="3001"/>
          </w:tcPr>
          <w:p>
            <w:pPr>
              <w:spacing w:after="60" w:before="60"/>
            </w:pPr>
            <w:r>
              <w:rPr>
                <w:rFonts w:ascii="Times New Roman" w:hAnsi="Times New Roman"/>
                <w:color w:val="1E1E1E"/>
                <w:sz w:val="19"/>
              </w:rPr>
              <w:t>AES-256 encrypted WebSocket latency &lt; 100 ms</w:t>
            </w:r>
          </w:p>
        </w:tc>
      </w:tr>
      <w:tr>
        <w:tc>
          <w:tcPr>
            <w:tcW w:type="dxa" w:w="3001"/>
            <w:shd w:fill="F2F5F9"/>
          </w:tcPr>
          <w:p>
            <w:pPr>
              <w:spacing w:after="60" w:before="60"/>
            </w:pPr>
            <w:r>
              <w:rPr>
                <w:rFonts w:ascii="Times New Roman" w:hAnsi="Times New Roman"/>
                <w:color w:val="1E1E1E"/>
                <w:sz w:val="19"/>
              </w:rPr>
              <w:t>Authentication</w:t>
            </w:r>
          </w:p>
        </w:tc>
        <w:tc>
          <w:tcPr>
            <w:tcW w:type="dxa" w:w="3001"/>
            <w:shd w:fill="F2F5F9"/>
          </w:tcPr>
          <w:p>
            <w:pPr>
              <w:spacing w:after="60" w:before="60"/>
            </w:pPr>
            <w:r>
              <w:rPr>
                <w:rFonts w:ascii="Times New Roman" w:hAnsi="Times New Roman"/>
                <w:color w:val="1E1E1E"/>
                <w:sz w:val="19"/>
              </w:rPr>
              <w:t>Mobile OTP phone verification</w:t>
            </w:r>
          </w:p>
        </w:tc>
        <w:tc>
          <w:tcPr>
            <w:tcW w:type="dxa" w:w="3001"/>
            <w:shd w:fill="F2F5F9"/>
          </w:tcPr>
          <w:p>
            <w:pPr>
              <w:spacing w:after="60" w:before="60"/>
            </w:pPr>
            <w:r>
              <w:rPr>
                <w:rFonts w:ascii="Times New Roman" w:hAnsi="Times New Roman"/>
                <w:color w:val="1E1E1E"/>
                <w:sz w:val="19"/>
              </w:rPr>
              <w:t>6-digit OTP, 10-minute validity, rate limited</w:t>
            </w:r>
          </w:p>
        </w:tc>
      </w:tr>
    </w:tbl>
    <w:p>
      <w:pPr>
        <w:spacing w:after="120" w:before="0" w:line="276" w:lineRule="auto"/>
        <w:jc w:val="both"/>
      </w:pPr>
      <w:r>
        <w:rPr>
          <w:rFonts w:ascii="Times New Roman" w:hAnsi="Times New Roman"/>
          <w:b w:val="0"/>
          <w:i w:val="0"/>
          <w:color w:val="000000"/>
          <w:sz w:val="24"/>
        </w:rPr>
        <w:t>To resolve the multifaceted challenges outlined in the problem statement, the Cotton Mitra project sets forth the following primary research and engineering objectives:</w:t>
      </w:r>
    </w:p>
    <w:p>
      <w:pPr>
        <w:spacing w:after="120" w:before="0" w:line="276" w:lineRule="auto"/>
        <w:jc w:val="both"/>
      </w:pPr>
      <w:r>
        <w:rPr>
          <w:rFonts w:ascii="Times New Roman" w:hAnsi="Times New Roman"/>
          <w:b w:val="0"/>
          <w:i w:val="0"/>
          <w:color w:val="000000"/>
          <w:sz w:val="24"/>
        </w:rPr>
        <w:t>1. Develop an Intelligent Precision Agronomy Module: Formulate an automated, soil-test crop response (STCR) fertilizer recommendation engine that ingests soil physicochemical parameters (Nitrogen, Phosphorus, Potassium, pH) and generates scientifically optimized, stage-wise commercial fertilizer doses (Urea, DAP, MOP, SSP) with detailed soil health scoring cards.</w:t>
      </w:r>
    </w:p>
    <w:p>
      <w:pPr>
        <w:spacing w:after="120" w:before="0" w:line="276" w:lineRule="auto"/>
        <w:jc w:val="both"/>
      </w:pPr>
      <w:r>
        <w:rPr>
          <w:rFonts w:ascii="Times New Roman" w:hAnsi="Times New Roman"/>
          <w:b w:val="0"/>
          <w:i w:val="0"/>
          <w:color w:val="000000"/>
          <w:sz w:val="24"/>
        </w:rPr>
        <w:t>2. Design and Deploy a Machine Learning Forecasting Engine: Train and validate an advanced Random Forest Regression model utilizing historical Indian cotton market indicators, temporal lags, textile industry indices, and rainfall covariates to deliver high-accuracy, 3-month multi-step rolling forecasts of national cotton consumption and demand trends.</w:t>
      </w:r>
    </w:p>
    <w:p>
      <w:pPr>
        <w:spacing w:after="120" w:before="0" w:line="276" w:lineRule="auto"/>
        <w:jc w:val="both"/>
      </w:pPr>
      <w:r>
        <w:rPr>
          <w:rFonts w:ascii="Times New Roman" w:hAnsi="Times New Roman"/>
          <w:b w:val="0"/>
          <w:i w:val="0"/>
          <w:color w:val="000000"/>
          <w:sz w:val="24"/>
        </w:rPr>
        <w:t>3. Architect a Decoupled Multi-Tier Cloud Software Architecture: Build an asynchronous full-stack enterprise platform combining a high-performance Node.js/Express application gateway, an independent Python/Flask machine learning microservice, and a MongoDB document database supporting dual responsive web portals tailored for Farmers and Warehouse Managers.</w:t>
      </w:r>
    </w:p>
    <w:p>
      <w:pPr>
        <w:spacing w:after="120" w:before="0" w:line="276" w:lineRule="auto"/>
        <w:jc w:val="both"/>
      </w:pPr>
      <w:r>
        <w:rPr>
          <w:rFonts w:ascii="Times New Roman" w:hAnsi="Times New Roman"/>
          <w:b w:val="0"/>
          <w:i w:val="0"/>
          <w:color w:val="000000"/>
          <w:sz w:val="24"/>
        </w:rPr>
        <w:t>4. Implement Real-Time Environmental Telemetry and Inventory Aging Analytics: Construct a proactive warehouse monitoring subsystem that tracks ambient relative humidity and temperature, automatically generates severity-graded alerts upon critical threshold breaches, and dynamically identifies aging lots exceeding 90 days of storage.</w:t>
      </w:r>
    </w:p>
    <w:p>
      <w:pPr>
        <w:spacing w:after="120" w:before="0" w:line="276" w:lineRule="auto"/>
        <w:jc w:val="both"/>
      </w:pPr>
      <w:r>
        <w:rPr>
          <w:rFonts w:ascii="Times New Roman" w:hAnsi="Times New Roman"/>
          <w:b w:val="0"/>
          <w:i w:val="0"/>
          <w:color w:val="000000"/>
          <w:sz w:val="24"/>
        </w:rPr>
        <w:t>5. Establish Secure Peer-to-Peer Direct Communication Channels: Integrate duplex WebSocket connections (Socket.IO) and AES-256 client-side payload encryption to facilitate real-time, transparent, and private price negotiations and delivery scheduling directly between farmers and certified warehouse operators, eliminating exploitative middlemen.</w:t>
      </w:r>
    </w:p>
    <w:p>
      <w:pPr>
        <w:spacing w:after="120" w:before="0" w:line="276" w:lineRule="auto"/>
        <w:jc w:val="both"/>
      </w:pPr>
      <w:r>
        <w:rPr>
          <w:rFonts w:ascii="Times New Roman" w:hAnsi="Times New Roman"/>
          <w:b w:val="0"/>
          <w:i w:val="0"/>
          <w:color w:val="000000"/>
          <w:sz w:val="24"/>
        </w:rPr>
        <w:t>6. Deploy a Natural Language Agricultural Knowledge Assistant: Implement an embedded, context-aware rule-based AI assistant capable of parsing farmer and warehouse operator natural language inquiries regarding inventory valuation, reorder planning (ROL), quality grade distributions, and microclimatic storage health.</w:t>
      </w:r>
    </w:p>
    <w:p>
      <w:r>
        <w:br w:type="page"/>
      </w:r>
    </w:p>
    <w:p>
      <w:pPr>
        <w:spacing w:before="960" w:after="120"/>
        <w:jc w:val="center"/>
      </w:pPr>
      <w:r>
        <w:rPr>
          <w:rFonts w:ascii="Times New Roman" w:hAnsi="Times New Roman"/>
          <w:b/>
          <w:sz w:val="36"/>
        </w:rPr>
        <w:t>CHAPTER 2</w:t>
      </w:r>
    </w:p>
    <w:p>
      <w:pPr>
        <w:spacing w:before="0" w:after="480"/>
        <w:jc w:val="center"/>
      </w:pPr>
      <w:r>
        <w:rPr>
          <w:rFonts w:ascii="Times New Roman" w:hAnsi="Times New Roman"/>
          <w:b/>
          <w:sz w:val="32"/>
        </w:rPr>
        <w:t>REVIEW OF LITERATURE</w:t>
      </w:r>
    </w:p>
    <w:p>
      <w:pPr>
        <w:spacing w:before="360" w:after="120"/>
      </w:pPr>
      <w:r>
        <w:rPr>
          <w:rFonts w:ascii="Times New Roman" w:hAnsi="Times New Roman"/>
          <w:b/>
          <w:sz w:val="28"/>
        </w:rPr>
        <w:t>2.1  Overview</w:t>
      </w:r>
    </w:p>
    <w:p>
      <w:pPr>
        <w:spacing w:after="120" w:before="0" w:line="276" w:lineRule="auto"/>
        <w:jc w:val="both"/>
      </w:pPr>
      <w:r>
        <w:rPr>
          <w:rFonts w:ascii="Times New Roman" w:hAnsi="Times New Roman"/>
          <w:b w:val="0"/>
          <w:i w:val="0"/>
          <w:color w:val="000000"/>
          <w:sz w:val="24"/>
        </w:rPr>
        <w:t>The integration of digital information technology, artificial intelligence, and smart logistics into agriculture — collectively recognized as Agriculture 4.0 or Smart Agritech — has emerged as one of the most transformative paradigms of the modern era. To establish a rigorous theoretical and empirical foundation for the Cotton Mitra architecture, this literature review synthesizes prior research across four core technical domains: Machine Learning in Crop Modeling, Decision Support Systems for Soil Nutrient Management, Smart Warehousing &amp; Storage Telemetry, and Digital Disintermediation in Agricultural Supply Chains.</w:t>
      </w:r>
    </w:p>
    <w:p>
      <w:pPr>
        <w:spacing w:after="120" w:before="0" w:line="276" w:lineRule="auto"/>
        <w:jc w:val="both"/>
      </w:pPr>
      <w:r>
        <w:rPr>
          <w:rFonts w:ascii="Times New Roman" w:hAnsi="Times New Roman"/>
          <w:b w:val="0"/>
          <w:i w:val="0"/>
          <w:color w:val="000000"/>
          <w:sz w:val="24"/>
        </w:rPr>
        <w:t>2.1.1 Machine Learning and AI in Precision Crop Modeling:</w:t>
        <w:br/>
        <w:t>Machine learning algorithms have been extensively applied to agricultural yield prediction, crop suitability classification, and price forecasting. Wolfert et al. (2017) conducted a comprehensive survey on big data applications in smart farming, demonstrating that predictive machine learning models offer superior generalization compared to classical biophysical simulation frameworks (such as DSSAT and APSIM) when operating on real-world, noisy agro-climatic datasets. Kamilaris and Prenafeta-Boldú (2018) highlighted the efficacy of ensemble decision tree architectures, specifically Random Forest (RF) and Gradient Boosted Trees, in modeling non-linear agronomic relationships. In the context of cash crops, studies by Sharma et al. (2020) demonstrated that Random Forest regression consistently outperforms classical Autoregressive Integrated Moving Average (ARIMA) models in agricultural commodity forecasting by effectively capturing exogenous covariates such as precipitation anomalies, industrial demand shifts, and historical price autoregression without suffering from stationarity constraints.</w:t>
      </w:r>
    </w:p>
    <w:p>
      <w:pPr>
        <w:spacing w:after="120" w:before="0" w:line="276" w:lineRule="auto"/>
        <w:jc w:val="both"/>
      </w:pPr>
      <w:r>
        <w:rPr>
          <w:rFonts w:ascii="Times New Roman" w:hAnsi="Times New Roman"/>
          <w:b w:val="0"/>
          <w:i w:val="0"/>
          <w:color w:val="000000"/>
          <w:sz w:val="24"/>
        </w:rPr>
        <w:t>2.1.2 Soil Nutrient Analysis and Decision Support Systems:</w:t>
        <w:br/>
        <w:t>Site-Specific Nutrient Management (SSNM) and Soil Test Crop Response (STCR) methodologies represent the pinnacle of scientific fertilization. Ramamoorthy et al. pioneered the STCR approach in India, establishing targeted yield equations that correlate initial soil available nutrients (N, P, K) with crop nutrient uptake efficiencies. Recent investigations by Pathak et al. (2021) emphasized that blanket fertilizer recommendations formulated at national or provincial levels fail to account for field-level heterogeneity, resulting in severe nutrient use inefficiencies. Modern mobile and web-based decision support platforms have attempted to digitize STCR equations; however, existing commercial tools often present complex, confusing chemical terminology to rural farmers without translating elemental deficits into practical, commercially available fertilizer bags (e.g., Urea, DAP, MOP) or providing growth-stage-specific split application guidelines tailored to cotton's extended phenological cycle.</w:t>
      </w:r>
    </w:p>
    <w:p>
      <w:pPr>
        <w:spacing w:after="120" w:before="0" w:line="276" w:lineRule="auto"/>
        <w:jc w:val="both"/>
      </w:pPr>
      <w:r>
        <w:rPr>
          <w:rFonts w:ascii="Times New Roman" w:hAnsi="Times New Roman"/>
          <w:b w:val="0"/>
          <w:i w:val="0"/>
          <w:color w:val="000000"/>
          <w:sz w:val="24"/>
        </w:rPr>
        <w:t>2.1.3 Smart Warehousing, IoT Telemetry, and Post-Harvest Management:</w:t>
        <w:br/>
        <w:t>Post-harvest management is a critical determinant of commercial fiber quality. Cotton lint possesses high moisture regain capacity (typically 7% to 8.5% at standard conditions). Research by Anthony (2018) on cotton ginning and storage demonstrated that maintaining storage relative humidity between 50% and 55% at temperatures between 20°C and 25°C is vital to prevent staple fiber brittleness, yellowing (color grade degradation), and bacterial degradation. Pal and Kant (2019) reviewed IoT-based wireless sensor networks (WSN) in grain and fiber warehouses, showing that real-time multi-point telemetry significantly reduces spoilage events. Nevertheless, traditional warehouse management systems (WMS) remain isolated industrial enterprise systems designed solely for internal accounting, completely detached from the primary producers who supply the raw commodity.</w:t>
      </w:r>
    </w:p>
    <w:p>
      <w:pPr>
        <w:spacing w:after="120" w:before="0" w:line="276" w:lineRule="auto"/>
        <w:jc w:val="both"/>
      </w:pPr>
      <w:r>
        <w:rPr>
          <w:rFonts w:ascii="Times New Roman" w:hAnsi="Times New Roman"/>
          <w:b w:val="0"/>
          <w:i w:val="0"/>
          <w:color w:val="000000"/>
          <w:sz w:val="24"/>
        </w:rPr>
        <w:t>2.1.4 Supply Chain Disintermediation and Agricultural Market Platforms:</w:t>
        <w:br/>
        <w:t>The traditional agricultural marketing system in South Asia is notoriously dominated by multi-layered intermediary cartels. The Government of India's electronic National Agriculture Market (e-NAM) initiative represents a significant step toward pan-India electronic trading. However, empirical assessments by Reddy and Chand (2020) revealed that smallholder farmers face formidable barriers to entry on central trading portals due to lack of localized storage tie-ups, complex bidding mechanisms, and the absence of end-to-end communication channels with warehouse custodians. Peer-to-peer digital communication systems incorporating cryptographic privacy and mobile authentication have been widely advocated by agritech researchers as the most promising mechanism to democratize farm trade.</w:t>
      </w:r>
    </w:p>
    <w:p>
      <w:pPr>
        <w:spacing w:after="120" w:before="0" w:line="276" w:lineRule="auto"/>
        <w:jc w:val="both"/>
      </w:pPr>
      <w:r>
        <w:rPr>
          <w:rFonts w:ascii="Times New Roman" w:hAnsi="Times New Roman"/>
          <w:b w:val="0"/>
          <w:i w:val="0"/>
          <w:color w:val="000000"/>
          <w:sz w:val="24"/>
        </w:rPr>
        <w:t>2.1.5 Synthesis of Research Gaps and Cotton Mitra Value Proposition:</w:t>
        <w:br/>
        <w:t>An exhaustive review of contemporary academic literature and commercial agritech solutions identifies three critical research and engineering voids: (1) The complete disconnect between pre-harvest crop agronomy advisory and post-harvest storage economics; (2) The lack of localized, lag-aware econometric forecasting models embedded directly within farmer-facing dashboards; and (3) The absence of an integrated, cryptographically secure direct negotiation channel linking farmers with certified regional warehouse managers. Cotton Mitra explicitly bridges these gaps by synthesizing these disparate domains into a cohesive, cloud-native, and accessible cyber-physical ecosystem.</w:t>
      </w:r>
    </w:p>
    <w:p>
      <w:pPr>
        <w:spacing w:after="200" w:before="0" w:line="276" w:lineRule="auto"/>
        <w:jc w:val="center"/>
      </w:pPr>
      <w:r>
        <w:rPr>
          <w:rFonts w:ascii="Times New Roman" w:hAnsi="Times New Roman"/>
          <w:b/>
          <w:i/>
          <w:color w:val="000000"/>
          <w:sz w:val="20"/>
        </w:rPr>
        <w:t>Table 2.1: Comparative Analysis of Existing Agritech Platforms vs. Cotton Mitra</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1801"/>
        <w:gridCol w:w="1801"/>
        <w:gridCol w:w="1801"/>
        <w:gridCol w:w="1801"/>
        <w:gridCol w:w="1801"/>
      </w:tblGrid>
      <w:tr>
        <w:tc>
          <w:tcPr>
            <w:tcW w:type="dxa" w:w="1801"/>
            <w:shd w:fill="1F497D"/>
          </w:tcPr>
          <w:p>
            <w:pPr>
              <w:spacing w:after="80" w:before="80"/>
              <w:jc w:val="center"/>
            </w:pPr>
            <w:r>
              <w:rPr>
                <w:rFonts w:ascii="Times New Roman" w:hAnsi="Times New Roman"/>
                <w:b/>
                <w:color w:val="FFFFFF"/>
                <w:sz w:val="20"/>
              </w:rPr>
              <w:t>Feature / Capability</w:t>
            </w:r>
          </w:p>
        </w:tc>
        <w:tc>
          <w:tcPr>
            <w:tcW w:type="dxa" w:w="1801"/>
            <w:shd w:fill="1F497D"/>
          </w:tcPr>
          <w:p>
            <w:pPr>
              <w:spacing w:after="80" w:before="80"/>
              <w:jc w:val="center"/>
            </w:pPr>
            <w:r>
              <w:rPr>
                <w:rFonts w:ascii="Times New Roman" w:hAnsi="Times New Roman"/>
                <w:b/>
                <w:color w:val="FFFFFF"/>
                <w:sz w:val="20"/>
              </w:rPr>
              <w:t>Traditional Market</w:t>
            </w:r>
          </w:p>
        </w:tc>
        <w:tc>
          <w:tcPr>
            <w:tcW w:type="dxa" w:w="1801"/>
            <w:shd w:fill="1F497D"/>
          </w:tcPr>
          <w:p>
            <w:pPr>
              <w:spacing w:after="80" w:before="80"/>
              <w:jc w:val="center"/>
            </w:pPr>
            <w:r>
              <w:rPr>
                <w:rFonts w:ascii="Times New Roman" w:hAnsi="Times New Roman"/>
                <w:b/>
                <w:color w:val="FFFFFF"/>
                <w:sz w:val="20"/>
              </w:rPr>
              <w:t>Generic Agritech Apps</w:t>
            </w:r>
          </w:p>
        </w:tc>
        <w:tc>
          <w:tcPr>
            <w:tcW w:type="dxa" w:w="1801"/>
            <w:shd w:fill="1F497D"/>
          </w:tcPr>
          <w:p>
            <w:pPr>
              <w:spacing w:after="80" w:before="80"/>
              <w:jc w:val="center"/>
            </w:pPr>
            <w:r>
              <w:rPr>
                <w:rFonts w:ascii="Times New Roman" w:hAnsi="Times New Roman"/>
                <w:b/>
                <w:color w:val="FFFFFF"/>
                <w:sz w:val="20"/>
              </w:rPr>
              <w:t>Standalone WMS ERP</w:t>
            </w:r>
          </w:p>
        </w:tc>
        <w:tc>
          <w:tcPr>
            <w:tcW w:type="dxa" w:w="1801"/>
            <w:shd w:fill="1F497D"/>
          </w:tcPr>
          <w:p>
            <w:pPr>
              <w:spacing w:after="80" w:before="80"/>
              <w:jc w:val="center"/>
            </w:pPr>
            <w:r>
              <w:rPr>
                <w:rFonts w:ascii="Times New Roman" w:hAnsi="Times New Roman"/>
                <w:b/>
                <w:color w:val="FFFFFF"/>
                <w:sz w:val="20"/>
              </w:rPr>
              <w:t>Cotton Mitra System</w:t>
            </w:r>
          </w:p>
        </w:tc>
      </w:tr>
      <w:tr>
        <w:tc>
          <w:tcPr>
            <w:tcW w:type="dxa" w:w="1801"/>
            <w:shd w:fill="F2F5F9"/>
          </w:tcPr>
          <w:p>
            <w:pPr>
              <w:spacing w:after="60" w:before="60"/>
            </w:pPr>
            <w:r>
              <w:rPr>
                <w:rFonts w:ascii="Times New Roman" w:hAnsi="Times New Roman"/>
                <w:color w:val="1E1E1E"/>
                <w:sz w:val="19"/>
              </w:rPr>
              <w:t>Soil Test Fertilizer Advisory</w:t>
            </w:r>
          </w:p>
        </w:tc>
        <w:tc>
          <w:tcPr>
            <w:tcW w:type="dxa" w:w="1801"/>
            <w:shd w:fill="F2F5F9"/>
          </w:tcPr>
          <w:p>
            <w:pPr>
              <w:spacing w:after="60" w:before="60"/>
            </w:pPr>
            <w:r>
              <w:rPr>
                <w:rFonts w:ascii="Times New Roman" w:hAnsi="Times New Roman"/>
                <w:color w:val="1E1E1E"/>
                <w:sz w:val="19"/>
              </w:rPr>
              <w:t>Manual / None</w:t>
            </w:r>
          </w:p>
        </w:tc>
        <w:tc>
          <w:tcPr>
            <w:tcW w:type="dxa" w:w="1801"/>
            <w:shd w:fill="F2F5F9"/>
          </w:tcPr>
          <w:p>
            <w:pPr>
              <w:spacing w:after="60" w:before="60"/>
            </w:pPr>
            <w:r>
              <w:rPr>
                <w:rFonts w:ascii="Times New Roman" w:hAnsi="Times New Roman"/>
                <w:color w:val="1E1E1E"/>
                <w:sz w:val="19"/>
              </w:rPr>
              <w:t>Generic Blanket Dosing</w:t>
            </w:r>
          </w:p>
        </w:tc>
        <w:tc>
          <w:tcPr>
            <w:tcW w:type="dxa" w:w="1801"/>
            <w:shd w:fill="F2F5F9"/>
          </w:tcPr>
          <w:p>
            <w:pPr>
              <w:spacing w:after="60" w:before="60"/>
            </w:pPr>
            <w:r>
              <w:rPr>
                <w:rFonts w:ascii="Times New Roman" w:hAnsi="Times New Roman"/>
                <w:color w:val="1E1E1E"/>
                <w:sz w:val="19"/>
              </w:rPr>
              <w:t>Unsupported</w:t>
            </w:r>
          </w:p>
        </w:tc>
        <w:tc>
          <w:tcPr>
            <w:tcW w:type="dxa" w:w="1801"/>
            <w:shd w:fill="F2F5F9"/>
          </w:tcPr>
          <w:p>
            <w:pPr>
              <w:spacing w:after="60" w:before="60"/>
            </w:pPr>
            <w:r>
              <w:rPr>
                <w:rFonts w:ascii="Times New Roman" w:hAnsi="Times New Roman"/>
                <w:color w:val="1E1E1E"/>
                <w:sz w:val="19"/>
              </w:rPr>
              <w:t>Automated STCR Stage-Wise Split Dosing</w:t>
            </w:r>
          </w:p>
        </w:tc>
      </w:tr>
      <w:tr>
        <w:tc>
          <w:tcPr>
            <w:tcW w:type="dxa" w:w="1801"/>
          </w:tcPr>
          <w:p>
            <w:pPr>
              <w:spacing w:after="60" w:before="60"/>
            </w:pPr>
            <w:r>
              <w:rPr>
                <w:rFonts w:ascii="Times New Roman" w:hAnsi="Times New Roman"/>
                <w:color w:val="1E1E1E"/>
                <w:sz w:val="19"/>
              </w:rPr>
              <w:t>Cotton Demand Forecasting</w:t>
            </w:r>
          </w:p>
        </w:tc>
        <w:tc>
          <w:tcPr>
            <w:tcW w:type="dxa" w:w="1801"/>
          </w:tcPr>
          <w:p>
            <w:pPr>
              <w:spacing w:after="60" w:before="60"/>
              <w:jc w:val="center"/>
            </w:pPr>
            <w:r>
              <w:rPr>
                <w:rFonts w:ascii="Times New Roman" w:hAnsi="Times New Roman"/>
                <w:color w:val="1E1E1E"/>
                <w:sz w:val="19"/>
              </w:rPr>
              <w:t>Absent</w:t>
            </w:r>
          </w:p>
        </w:tc>
        <w:tc>
          <w:tcPr>
            <w:tcW w:type="dxa" w:w="1801"/>
          </w:tcPr>
          <w:p>
            <w:pPr>
              <w:spacing w:after="60" w:before="60"/>
            </w:pPr>
            <w:r>
              <w:rPr>
                <w:rFonts w:ascii="Times New Roman" w:hAnsi="Times New Roman"/>
                <w:color w:val="1E1E1E"/>
                <w:sz w:val="19"/>
              </w:rPr>
              <w:t>Static Historical Prices</w:t>
            </w:r>
          </w:p>
        </w:tc>
        <w:tc>
          <w:tcPr>
            <w:tcW w:type="dxa" w:w="1801"/>
          </w:tcPr>
          <w:p>
            <w:pPr>
              <w:spacing w:after="60" w:before="60"/>
            </w:pPr>
            <w:r>
              <w:rPr>
                <w:rFonts w:ascii="Times New Roman" w:hAnsi="Times New Roman"/>
                <w:color w:val="1E1E1E"/>
                <w:sz w:val="19"/>
              </w:rPr>
              <w:t>Internal Moving Average</w:t>
            </w:r>
          </w:p>
        </w:tc>
        <w:tc>
          <w:tcPr>
            <w:tcW w:type="dxa" w:w="1801"/>
          </w:tcPr>
          <w:p>
            <w:pPr>
              <w:spacing w:after="60" w:before="60"/>
            </w:pPr>
            <w:r>
              <w:rPr>
                <w:rFonts w:ascii="Times New Roman" w:hAnsi="Times New Roman"/>
                <w:color w:val="1E1E1E"/>
                <w:sz w:val="19"/>
              </w:rPr>
              <w:t>Lag-Aware Random Forest ML Regressor</w:t>
            </w:r>
          </w:p>
        </w:tc>
      </w:tr>
      <w:tr>
        <w:tc>
          <w:tcPr>
            <w:tcW w:type="dxa" w:w="1801"/>
            <w:shd w:fill="F2F5F9"/>
          </w:tcPr>
          <w:p>
            <w:pPr>
              <w:spacing w:after="60" w:before="60"/>
            </w:pPr>
            <w:r>
              <w:rPr>
                <w:rFonts w:ascii="Times New Roman" w:hAnsi="Times New Roman"/>
                <w:color w:val="1E1E1E"/>
                <w:sz w:val="19"/>
              </w:rPr>
              <w:t>Warehouse Aging Stock Flag</w:t>
            </w:r>
          </w:p>
        </w:tc>
        <w:tc>
          <w:tcPr>
            <w:tcW w:type="dxa" w:w="1801"/>
            <w:shd w:fill="F2F5F9"/>
          </w:tcPr>
          <w:p>
            <w:pPr>
              <w:spacing w:after="60" w:before="60"/>
            </w:pPr>
            <w:r>
              <w:rPr>
                <w:rFonts w:ascii="Times New Roman" w:hAnsi="Times New Roman"/>
                <w:color w:val="1E1E1E"/>
                <w:sz w:val="19"/>
              </w:rPr>
              <w:t>Manual Ledger</w:t>
            </w:r>
          </w:p>
        </w:tc>
        <w:tc>
          <w:tcPr>
            <w:tcW w:type="dxa" w:w="1801"/>
            <w:shd w:fill="F2F5F9"/>
          </w:tcPr>
          <w:p>
            <w:pPr>
              <w:spacing w:after="60" w:before="60"/>
            </w:pPr>
            <w:r>
              <w:rPr>
                <w:rFonts w:ascii="Times New Roman" w:hAnsi="Times New Roman"/>
                <w:color w:val="1E1E1E"/>
                <w:sz w:val="19"/>
              </w:rPr>
              <w:t>Unsupported</w:t>
            </w:r>
          </w:p>
        </w:tc>
        <w:tc>
          <w:tcPr>
            <w:tcW w:type="dxa" w:w="1801"/>
            <w:shd w:fill="F2F5F9"/>
          </w:tcPr>
          <w:p>
            <w:pPr>
              <w:spacing w:after="60" w:before="60"/>
            </w:pPr>
            <w:r>
              <w:rPr>
                <w:rFonts w:ascii="Times New Roman" w:hAnsi="Times New Roman"/>
                <w:color w:val="1E1E1E"/>
                <w:sz w:val="19"/>
              </w:rPr>
              <w:t>Basic Timestamp</w:t>
            </w:r>
          </w:p>
        </w:tc>
        <w:tc>
          <w:tcPr>
            <w:tcW w:type="dxa" w:w="1801"/>
            <w:shd w:fill="F2F5F9"/>
          </w:tcPr>
          <w:p>
            <w:pPr>
              <w:spacing w:after="60" w:before="60"/>
            </w:pPr>
            <w:r>
              <w:rPr>
                <w:rFonts w:ascii="Times New Roman" w:hAnsi="Times New Roman"/>
                <w:color w:val="1E1E1E"/>
                <w:sz w:val="19"/>
              </w:rPr>
              <w:t>Automated &gt;90-Day Priority Risk Flags</w:t>
            </w:r>
          </w:p>
        </w:tc>
      </w:tr>
      <w:tr>
        <w:tc>
          <w:tcPr>
            <w:tcW w:type="dxa" w:w="1801"/>
          </w:tcPr>
          <w:p>
            <w:pPr>
              <w:spacing w:after="60" w:before="60"/>
            </w:pPr>
            <w:r>
              <w:rPr>
                <w:rFonts w:ascii="Times New Roman" w:hAnsi="Times New Roman"/>
                <w:color w:val="1E1E1E"/>
                <w:sz w:val="19"/>
              </w:rPr>
              <w:t>Direct Negotiation &amp; Chat</w:t>
            </w:r>
          </w:p>
        </w:tc>
        <w:tc>
          <w:tcPr>
            <w:tcW w:type="dxa" w:w="1801"/>
          </w:tcPr>
          <w:p>
            <w:pPr>
              <w:spacing w:after="60" w:before="60"/>
            </w:pPr>
            <w:r>
              <w:rPr>
                <w:rFonts w:ascii="Times New Roman" w:hAnsi="Times New Roman"/>
                <w:color w:val="1E1E1E"/>
                <w:sz w:val="19"/>
              </w:rPr>
              <w:t>Middleman Brokerage</w:t>
            </w:r>
          </w:p>
        </w:tc>
        <w:tc>
          <w:tcPr>
            <w:tcW w:type="dxa" w:w="1801"/>
          </w:tcPr>
          <w:p>
            <w:pPr>
              <w:spacing w:after="60" w:before="60"/>
            </w:pPr>
            <w:r>
              <w:rPr>
                <w:rFonts w:ascii="Times New Roman" w:hAnsi="Times New Roman"/>
                <w:color w:val="1E1E1E"/>
                <w:sz w:val="19"/>
              </w:rPr>
              <w:t>Public Classifieds</w:t>
            </w:r>
          </w:p>
        </w:tc>
        <w:tc>
          <w:tcPr>
            <w:tcW w:type="dxa" w:w="1801"/>
          </w:tcPr>
          <w:p>
            <w:pPr>
              <w:spacing w:after="60" w:before="60"/>
            </w:pPr>
            <w:r>
              <w:rPr>
                <w:rFonts w:ascii="Times New Roman" w:hAnsi="Times New Roman"/>
                <w:color w:val="1E1E1E"/>
                <w:sz w:val="19"/>
              </w:rPr>
              <w:t>Internal Email</w:t>
            </w:r>
          </w:p>
        </w:tc>
        <w:tc>
          <w:tcPr>
            <w:tcW w:type="dxa" w:w="1801"/>
          </w:tcPr>
          <w:p>
            <w:pPr>
              <w:spacing w:after="60" w:before="60"/>
            </w:pPr>
            <w:r>
              <w:rPr>
                <w:rFonts w:ascii="Times New Roman" w:hAnsi="Times New Roman"/>
                <w:color w:val="1E1E1E"/>
                <w:sz w:val="19"/>
              </w:rPr>
              <w:t>End-to-End AES-256 Encrypted WebSockets</w:t>
            </w:r>
          </w:p>
        </w:tc>
      </w:tr>
    </w:tbl>
    <w:p>
      <w:r>
        <w:br w:type="page"/>
      </w:r>
    </w:p>
    <w:p>
      <w:pPr>
        <w:spacing w:before="960" w:after="120"/>
        <w:jc w:val="center"/>
      </w:pPr>
      <w:r>
        <w:rPr>
          <w:rFonts w:ascii="Times New Roman" w:hAnsi="Times New Roman"/>
          <w:b/>
          <w:sz w:val="36"/>
        </w:rPr>
        <w:t>CHAPTER 3</w:t>
      </w:r>
    </w:p>
    <w:p>
      <w:pPr>
        <w:spacing w:before="0" w:after="480"/>
        <w:jc w:val="center"/>
      </w:pPr>
      <w:r>
        <w:rPr>
          <w:rFonts w:ascii="Times New Roman" w:hAnsi="Times New Roman"/>
          <w:b/>
          <w:sz w:val="32"/>
        </w:rPr>
        <w:t>WORK DONE</w:t>
      </w:r>
    </w:p>
    <w:p>
      <w:pPr>
        <w:spacing w:before="360" w:after="120"/>
      </w:pPr>
      <w:r>
        <w:rPr>
          <w:rFonts w:ascii="Times New Roman" w:hAnsi="Times New Roman"/>
          <w:b/>
          <w:sz w:val="28"/>
        </w:rPr>
        <w:t>3.1  System Design and Development</w:t>
      </w:r>
    </w:p>
    <w:p>
      <w:pPr>
        <w:spacing w:after="120" w:before="0" w:line="276" w:lineRule="auto"/>
        <w:jc w:val="both"/>
      </w:pPr>
      <w:r>
        <w:rPr>
          <w:rFonts w:ascii="Times New Roman" w:hAnsi="Times New Roman"/>
          <w:b w:val="0"/>
          <w:i w:val="0"/>
          <w:color w:val="000000"/>
          <w:sz w:val="24"/>
        </w:rPr>
        <w:t>The engineering development of Cotton Mitra is guided by user-centric design principles, high-availability microservices architecture, and clean separation of concerns. The platform is designed to accommodate two primary stakeholder personas with radically different operational workflows and computational proficiencies: rural cotton cultivators seeking intuitive crop guidance and direct warehouse selling, and industrial warehouse custodians managing inventory throughput, environmental telemetry, and logistics dispatches.</w:t>
      </w:r>
    </w:p>
    <w:p>
      <w:pPr>
        <w:spacing w:after="120" w:before="0" w:line="276" w:lineRule="auto"/>
        <w:jc w:val="both"/>
      </w:pPr>
      <w:r>
        <w:rPr>
          <w:rFonts w:ascii="Times New Roman" w:hAnsi="Times New Roman"/>
          <w:b w:val="0"/>
          <w:i w:val="0"/>
          <w:color w:val="000000"/>
          <w:sz w:val="24"/>
        </w:rPr>
        <w:t>To satisfy these operational requirements, the system is decomposed into five core interoperable modules:</w:t>
        <w:br/>
        <w:t>1. Farmer Operations &amp; Advisory Portal: A streamlined, mobile-responsive web interface accessible via secure mobile OTP authentication. It presents simplified soil health inputs, generates automated diagnostic fertilizer cards, displays localized crop rotation recommendations, and provides a direct messaging console for warehouse interaction.</w:t>
        <w:br/>
        <w:t>2. Warehouse Operations &amp; Inventory Telemetry Dashboard: A comprehensive enterprise management dashboard featuring real-time key performance indicators (KPIs), multi-warehouse stock tracking, inventory aging analytics, shipment scheduling, and dynamic reorder level (ROL) planning.</w:t>
        <w:br/>
        <w:t>3. Autonomous Machine Learning Forecasting Microservice: A standalone computational service running an optimized Random Forest Regressor that dynamically predicts monthly cotton consumption and demand trends for the forward quarter.</w:t>
        <w:br/>
        <w:t>4. Environmental Monitoring and Threshold Alert Engine: An active telemetry watcher that processes ambient humidity and temperature readings from warehouse storage sections, generating color-coded alerts (Danger, Warning, Info, Success) when safety thresholds are breached.</w:t>
        <w:br/>
        <w:t>5. Direct Negotiation and Real-Time Communication Hub: A full-duplex communication pipeline built upon Socket.IO WebSockets and client-side AES-256 cryptographic encryption, enabling confidential, peer-to-peer price quotes and delivery contracts.</w:t>
      </w:r>
    </w:p>
    <w:p>
      <w:pPr>
        <w:spacing w:before="360" w:after="120"/>
      </w:pPr>
      <w:r>
        <w:rPr>
          <w:rFonts w:ascii="Times New Roman" w:hAnsi="Times New Roman"/>
          <w:b/>
          <w:sz w:val="28"/>
        </w:rPr>
        <w:t>3.2  Technologies Used</w:t>
      </w:r>
    </w:p>
    <w:p>
      <w:pPr>
        <w:spacing w:after="120" w:before="0" w:line="276" w:lineRule="auto"/>
        <w:jc w:val="both"/>
      </w:pPr>
      <w:r>
        <w:rPr>
          <w:rFonts w:ascii="Times New Roman" w:hAnsi="Times New Roman"/>
          <w:b w:val="0"/>
          <w:i w:val="0"/>
          <w:color w:val="000000"/>
          <w:sz w:val="24"/>
        </w:rPr>
        <w:t>The Cotton Mitra technological ecosystem leverages modern, robust, and industry-standard open-source frameworks across the frontend, backend, database, machine learning, and security tiers:</w:t>
      </w:r>
    </w:p>
    <w:p>
      <w:pPr>
        <w:spacing w:after="120" w:before="0" w:line="276" w:lineRule="auto"/>
        <w:jc w:val="both"/>
      </w:pPr>
      <w:r>
        <w:rPr>
          <w:rFonts w:ascii="Times New Roman" w:hAnsi="Times New Roman"/>
          <w:b w:val="0"/>
          <w:i w:val="0"/>
          <w:color w:val="000000"/>
          <w:sz w:val="24"/>
        </w:rPr>
        <w:t>• Frontend Presentation Layer:</w:t>
        <w:br/>
        <w:t>- HTML5 &amp; Semantic Elements: Establishes accessible, standard-compliant document structures across farmer and warehouse views.</w:t>
        <w:br/>
        <w:t>- Cascading Style Sheets (CSS3) &amp; Bootstrap 5: Delivers a premium, responsive UI featuring curated agricultural color palettes (deep forest green #1B4D3E, harvest amber, sleek dark slate), glassmorphism cards, micro-animations, and fluid grid layouts.</w:t>
        <w:br/>
        <w:t>- JavaScript (ES6+): Powers dynamic client-side interactions, asynchronous fetch API requests, DOM updates, and WebSocket event handlers.</w:t>
        <w:br/>
        <w:t>- Chart.js &amp; HTML5 Canvas: Renders high-performance, interactive data visualizations including 12-month historical yield charts, forecast trajectory curves, and quality grade distribution pie charts.</w:t>
      </w:r>
    </w:p>
    <w:p>
      <w:pPr>
        <w:spacing w:after="120" w:before="0" w:line="276" w:lineRule="auto"/>
        <w:jc w:val="both"/>
      </w:pPr>
      <w:r>
        <w:rPr>
          <w:rFonts w:ascii="Times New Roman" w:hAnsi="Times New Roman"/>
          <w:b w:val="0"/>
          <w:i w:val="0"/>
          <w:color w:val="000000"/>
          <w:sz w:val="24"/>
        </w:rPr>
        <w:t>• Backend Application Layer:</w:t>
        <w:br/>
        <w:t>- Node.js (v18+) &amp; Express Framework (v5.2): Serves as the primary enterprise API gateway and application server (running on port 3000), handling RESTful routes, session state management, middleware authentication, and static asset streaming.</w:t>
        <w:br/>
        <w:t>- Python (v3.10+) &amp; Flask: Deployed in a dual capacity: (a) Hosting the dedicated Machine Learning microservice (`ml_server.py`) on port 5001, and (b) Providing a lightweight, standalone Python web application alternative (`app.py`) on port 8000 for edge environments.</w:t>
        <w:br/>
        <w:t>- Axios: Manages inter-service asynchronous HTTP communication between the Node.js API gateway and the Python ML forecast engine.</w:t>
      </w:r>
    </w:p>
    <w:p>
      <w:pPr>
        <w:spacing w:after="120" w:before="0" w:line="276" w:lineRule="auto"/>
        <w:jc w:val="both"/>
      </w:pPr>
      <w:r>
        <w:rPr>
          <w:rFonts w:ascii="Times New Roman" w:hAnsi="Times New Roman"/>
          <w:b w:val="0"/>
          <w:i w:val="0"/>
          <w:color w:val="000000"/>
          <w:sz w:val="24"/>
        </w:rPr>
        <w:t>• Database and Persistence Layer:</w:t>
        <w:br/>
        <w:t>- MongoDB (v7.0+): Document-oriented NoSQL database providing horizontal scalability, dynamic schema flexibility, and high-throughput JSON document storage for inventory batches, shipments, telemetry alerts, forecast logs, and messaging transcripts.</w:t>
        <w:br/>
        <w:t>- Mongoose (v9.3): Object Data Modeling (ODM) library enforcing robust data validation, indexing, and asynchronous querying across nine production collections (Inventory, Shipment, Alert, Forecast, Chat, Yield, UserProfile, Conversation, DirectMessage).</w:t>
      </w:r>
    </w:p>
    <w:p>
      <w:pPr>
        <w:spacing w:after="120" w:before="0" w:line="276" w:lineRule="auto"/>
        <w:jc w:val="both"/>
      </w:pPr>
      <w:r>
        <w:rPr>
          <w:rFonts w:ascii="Times New Roman" w:hAnsi="Times New Roman"/>
          <w:b w:val="0"/>
          <w:i w:val="0"/>
          <w:color w:val="000000"/>
          <w:sz w:val="24"/>
        </w:rPr>
        <w:t>• Machine Learning &amp; Numerical Computing Stack:</w:t>
        <w:br/>
        <w:t>- Scikit-Learn: Employs `RandomForestRegressor` with 100 decision tree estimators for robust non-linear regression.</w:t>
        <w:br/>
        <w:t>- Pandas &amp; NumPy: Executes high-speed data manipulation, temporal datetime conversions, sliding-window lag feature generation, and matrix mathematics on historical cotton datasets (`data.csv`).</w:t>
      </w:r>
    </w:p>
    <w:p>
      <w:pPr>
        <w:spacing w:after="120" w:before="0" w:line="276" w:lineRule="auto"/>
        <w:jc w:val="both"/>
      </w:pPr>
      <w:r>
        <w:rPr>
          <w:rFonts w:ascii="Times New Roman" w:hAnsi="Times New Roman"/>
          <w:b w:val="0"/>
          <w:i w:val="0"/>
          <w:color w:val="000000"/>
          <w:sz w:val="24"/>
        </w:rPr>
        <w:t>• Security, Cryptography &amp; Real-Time Protocols:</w:t>
        <w:br/>
        <w:t>- Socket.IO (v4.8): Manages persistent, bidirectional WebSocket channels for real-time chat, typing indicators, and instant telemetry alerts.</w:t>
        <w:br/>
        <w:t>- CryptoJS: Executes 256-bit Advanced Encryption Standard (AES) cryptographic ciphering on direct messaging payloads, guaranteeing end-to-end confidentiality between farmers and warehouse custodians.</w:t>
        <w:br/>
        <w:t>- OTP Authentication Engine: Custom phone-based one-time password verification module with 10-minute validity and rate-limiting.</w:t>
      </w:r>
    </w:p>
    <w:p>
      <w:pPr>
        <w:spacing w:before="360" w:after="120"/>
      </w:pPr>
      <w:r>
        <w:rPr>
          <w:rFonts w:ascii="Times New Roman" w:hAnsi="Times New Roman"/>
          <w:b/>
          <w:sz w:val="28"/>
        </w:rPr>
        <w:t>3.3  Flow of the System</w:t>
      </w:r>
    </w:p>
    <w:p>
      <w:pPr>
        <w:spacing w:after="120" w:before="0" w:line="276" w:lineRule="auto"/>
        <w:jc w:val="both"/>
      </w:pPr>
      <w:r>
        <w:rPr>
          <w:rFonts w:ascii="Times New Roman" w:hAnsi="Times New Roman"/>
          <w:b w:val="0"/>
          <w:i w:val="0"/>
          <w:color w:val="000000"/>
          <w:sz w:val="24"/>
        </w:rPr>
        <w:t>The operational flow of Cotton Mitra seamlessly guides users through interconnected agricultural and logistics workflows:</w:t>
      </w:r>
    </w:p>
    <w:p>
      <w:pPr>
        <w:spacing w:after="120" w:before="0" w:line="276" w:lineRule="auto"/>
        <w:jc w:val="both"/>
      </w:pPr>
      <w:r>
        <w:rPr>
          <w:rFonts w:ascii="Times New Roman" w:hAnsi="Times New Roman"/>
          <w:b w:val="0"/>
          <w:i w:val="0"/>
          <w:color w:val="000000"/>
          <w:sz w:val="24"/>
        </w:rPr>
        <w:t>1. Farmer Authentication and Session Inception: A farmer visits `/farmer/login` and inputs their 10-digit Indian mobile number. The backend validates the number against standard telecom formats (`/^[6-9]\d{9}$/`), applies rate limiting (maximum 3 attempts within 10 minutes), generates a cryptographically random 6-digit OTP, stores it in an ephemeral memory cache with a 600-second TTL, and verifies the submitted code upon submission. Upon verification, a persistent farmer session is established, redirecting the user to `/farmer/dashboard`.</w:t>
      </w:r>
    </w:p>
    <w:p>
      <w:pPr>
        <w:spacing w:after="120" w:before="0" w:line="276" w:lineRule="auto"/>
        <w:jc w:val="both"/>
      </w:pPr>
      <w:r>
        <w:rPr>
          <w:rFonts w:ascii="Times New Roman" w:hAnsi="Times New Roman"/>
          <w:b w:val="0"/>
          <w:i w:val="0"/>
          <w:color w:val="000000"/>
          <w:sz w:val="24"/>
        </w:rPr>
        <w:t>2. Warehouse Manager Authentication: Warehouse operators authenticate via standard credential authentication or Google OAuth 2.0 integration (`/api/login/google`), gaining access to `/dashboard` upon verification of privileged role privileges.</w:t>
      </w:r>
    </w:p>
    <w:p>
      <w:pPr>
        <w:spacing w:after="120" w:before="0" w:line="276" w:lineRule="auto"/>
        <w:jc w:val="both"/>
      </w:pPr>
      <w:r>
        <w:rPr>
          <w:rFonts w:ascii="Times New Roman" w:hAnsi="Times New Roman"/>
          <w:b w:val="0"/>
          <w:i w:val="0"/>
          <w:color w:val="000000"/>
          <w:sz w:val="24"/>
        </w:rPr>
        <w:t>3. Inventory Intake, Grade Segregation, and Aging Analysis: When cotton bales arrive at a warehouse, the operator registers a new batch specifying batch ID, quality grade (Premium, Standard, Economy), quantity in bales, warehouse facility (Warehouse A, B, or C), section location, initial price per bale, and environmental storage conditions. The system continuously evaluates each lot's arrival date against current time; if the residency duration exceeds 90 days, the batch is dynamically tagged with an 'Aging Stock Risk' flag.</w:t>
      </w:r>
    </w:p>
    <w:p>
      <w:pPr>
        <w:spacing w:after="120" w:before="0" w:line="276" w:lineRule="auto"/>
        <w:jc w:val="both"/>
      </w:pPr>
      <w:r>
        <w:rPr>
          <w:rFonts w:ascii="Times New Roman" w:hAnsi="Times New Roman"/>
          <w:b w:val="0"/>
          <w:i w:val="0"/>
          <w:color w:val="000000"/>
          <w:sz w:val="24"/>
        </w:rPr>
        <w:t>4. Environmental Monitoring and Threshold Alert Triggering: Warehouse environmental sensors continuously report relative humidity and temperature. If humidity surpasses the critical safety ceiling of 60% (as observed in Warehouse B at 61%), the Alert engine instantly creates a high-priority Danger alert, dispatches notification banners to active operators, and advises dehumidifier activation.</w:t>
      </w:r>
    </w:p>
    <w:p>
      <w:pPr>
        <w:spacing w:after="120" w:before="0" w:line="276" w:lineRule="auto"/>
        <w:jc w:val="both"/>
      </w:pPr>
      <w:r>
        <w:rPr>
          <w:rFonts w:ascii="Times New Roman" w:hAnsi="Times New Roman"/>
          <w:b w:val="0"/>
          <w:i w:val="0"/>
          <w:color w:val="000000"/>
          <w:sz w:val="24"/>
        </w:rPr>
        <w:t>5. Direct Peer-to-Peer Negotiation: Farmers browse certified warehouse custodians within their geographic cluster. Initiating a chat creates a conversation record. As either party types, WebSocket events (`typing`, `stop_typing`) update the UI. The sender's text is encrypted via AES-256 before transmission and stored encrypted in MongoDB, decrypting seamlessly on the verified recipient's interface.</w:t>
      </w:r>
    </w:p>
    <w:p>
      <w:pPr>
        <w:spacing w:before="360" w:after="120"/>
      </w:pPr>
      <w:r>
        <w:rPr>
          <w:rFonts w:ascii="Times New Roman" w:hAnsi="Times New Roman"/>
          <w:b/>
          <w:sz w:val="28"/>
        </w:rPr>
        <w:t>3.4  Software Architecture</w:t>
      </w:r>
    </w:p>
    <w:p>
      <w:pPr>
        <w:spacing w:after="120" w:before="0" w:line="276" w:lineRule="auto"/>
        <w:jc w:val="both"/>
      </w:pPr>
      <w:r>
        <w:rPr>
          <w:rFonts w:ascii="Times New Roman" w:hAnsi="Times New Roman"/>
          <w:b w:val="0"/>
          <w:i w:val="0"/>
          <w:color w:val="000000"/>
          <w:sz w:val="24"/>
        </w:rPr>
        <w:t>Cotton Mitra implements a robust, multi-tier decoupled microservices architecture designed for resilience, horizontal scalability, and clean maintainability. The architectural topology is structured across four functional tiers:</w:t>
      </w:r>
    </w:p>
    <w:p>
      <w:pPr>
        <w:spacing w:after="120" w:before="0" w:line="276" w:lineRule="auto"/>
        <w:jc w:val="both"/>
      </w:pPr>
      <w:r>
        <w:rPr>
          <w:rFonts w:ascii="Times New Roman" w:hAnsi="Times New Roman"/>
          <w:b w:val="0"/>
          <w:i w:val="0"/>
          <w:color w:val="000000"/>
          <w:sz w:val="24"/>
        </w:rPr>
        <w:t>1. Presentation Tier (Web Clients): Consists of the modern single-page and responsive multi-page layouts running within the client browser. It communicates with the application tier via standard RESTful JSON HTTP endpoints and maintains an asynchronous duplex connection via Socket.IO.</w:t>
      </w:r>
    </w:p>
    <w:p>
      <w:pPr>
        <w:spacing w:after="120" w:before="0" w:line="276" w:lineRule="auto"/>
        <w:jc w:val="both"/>
      </w:pPr>
      <w:r>
        <w:rPr>
          <w:rFonts w:ascii="Times New Roman" w:hAnsi="Times New Roman"/>
          <w:b w:val="0"/>
          <w:i w:val="0"/>
          <w:color w:val="000000"/>
          <w:sz w:val="24"/>
        </w:rPr>
        <w:t>2. Application Gateway Tier (Node.js &amp; Express - Port 3000): Acts as the primary orchestrator, reverse proxy, and business logic coordinator. It enforces session authentication (`requireAuth`, `requireFarmerAuth`, `requireMsgAuth`), handles CRUD operations for inventory and shipments, manages the in-memory OTP verification lifecycle, coordinates WebSocket rooms for direct messaging (`user-{userId}`), and delegates predictive computation requests to the machine learning microservice.</w:t>
      </w:r>
    </w:p>
    <w:p>
      <w:pPr>
        <w:spacing w:after="120" w:before="0" w:line="276" w:lineRule="auto"/>
        <w:jc w:val="both"/>
      </w:pPr>
      <w:r>
        <w:rPr>
          <w:rFonts w:ascii="Times New Roman" w:hAnsi="Times New Roman"/>
          <w:b w:val="0"/>
          <w:i w:val="0"/>
          <w:color w:val="000000"/>
          <w:sz w:val="24"/>
        </w:rPr>
        <w:t>3. Machine Learning Microservice Tier (Flask &amp; Scikit-Learn - Port 5001): A specialized Python microservice dedicated strictly to predictive mathematical modeling. Exposing `/ml/forecast` and `/ml/health` REST endpoints, it isolates CPU-intensive regression algorithms from the I/O-bound web gateway, ensuring that complex multi-step forecast computations never block client web traffic.</w:t>
      </w:r>
    </w:p>
    <w:p>
      <w:pPr>
        <w:spacing w:after="120" w:before="0" w:line="276" w:lineRule="auto"/>
        <w:jc w:val="both"/>
      </w:pPr>
      <w:r>
        <w:rPr>
          <w:rFonts w:ascii="Times New Roman" w:hAnsi="Times New Roman"/>
          <w:b w:val="0"/>
          <w:i w:val="0"/>
          <w:color w:val="000000"/>
          <w:sz w:val="24"/>
        </w:rPr>
        <w:t>4. Data Persistence Tier (MongoDB - Port 27017): Provides a document-oriented datastore with robust indexing across unique identifiers (`batchId`, `shipmentId`, `userId`). The system also incorporates an automatic gracefully degrading Demo In-Memory Data Store, enabling flawless local testing, academic demonstration, and resilience during database connectivity interruptions.</w:t>
      </w:r>
    </w:p>
    <w:p>
      <w:pPr>
        <w:spacing w:before="360" w:after="120"/>
      </w:pPr>
      <w:r>
        <w:rPr>
          <w:rFonts w:ascii="Times New Roman" w:hAnsi="Times New Roman"/>
          <w:b/>
          <w:sz w:val="28"/>
        </w:rPr>
        <w:t>3.5  Data Pre-processing</w:t>
      </w:r>
    </w:p>
    <w:p>
      <w:pPr>
        <w:spacing w:after="120" w:before="0" w:line="276" w:lineRule="auto"/>
        <w:jc w:val="both"/>
      </w:pPr>
      <w:r>
        <w:rPr>
          <w:rFonts w:ascii="Times New Roman" w:hAnsi="Times New Roman"/>
          <w:b w:val="0"/>
          <w:i w:val="0"/>
          <w:color w:val="000000"/>
          <w:sz w:val="24"/>
        </w:rPr>
        <w:t>The forecasting capabilities of Cotton Mitra rely on an empirical macroeconomic dataset (`data.csv`) capturing monthly cotton supply, demand, price dynamics, and climatic factors in India over multiple crop years. To prepare this data for robust machine learning model training, a meticulous pre-processing and feature engineering pipeline was developed:</w:t>
      </w:r>
    </w:p>
    <w:p>
      <w:pPr>
        <w:spacing w:after="120" w:before="0" w:line="276" w:lineRule="auto"/>
        <w:jc w:val="both"/>
      </w:pPr>
      <w:r>
        <w:rPr>
          <w:rFonts w:ascii="Times New Roman" w:hAnsi="Times New Roman"/>
          <w:b w:val="0"/>
          <w:i w:val="0"/>
          <w:color w:val="000000"/>
          <w:sz w:val="24"/>
        </w:rPr>
        <w:t>1. Chronological Sorting and Date Standardization: Raw agricultural time series frequently suffer from inconsistent date formatting. The pipeline parses date records with explicit day-first interpretation (`pd.to_datetime(df['date'], dayfirst=True)`), chronologically sorting the dataframe and resetting the index. This rigorous temporal sequencing eliminates chronological drift and completely resolves historical date repetition artifacts (such as the 'Jan 2026' loop bug).</w:t>
      </w:r>
    </w:p>
    <w:p>
      <w:pPr>
        <w:spacing w:after="120" w:before="0" w:line="276" w:lineRule="auto"/>
        <w:jc w:val="both"/>
      </w:pPr>
      <w:r>
        <w:rPr>
          <w:rFonts w:ascii="Times New Roman" w:hAnsi="Times New Roman"/>
          <w:b w:val="0"/>
          <w:i w:val="0"/>
          <w:color w:val="000000"/>
          <w:sz w:val="24"/>
        </w:rPr>
        <w:t>2. Lag Feature Engineering (Autoregressive Covariates): In commodity economics, current consumption and market prices are heavily dependent on immediate historical values. Two critical lag features were engineered:</w:t>
        <w:br/>
        <w:t>- `consumption_lag_1`: Monthly cotton consumption lagged by one month ($t-1$), capturing immediate industrial uptake inertia.</w:t>
        <w:br/>
        <w:t>- `price_lag_1`: Market price per quintal lagged by one month ($t-1$), reflecting commodity procurement cost dynamics.</w:t>
      </w:r>
    </w:p>
    <w:p>
      <w:pPr>
        <w:spacing w:after="120" w:before="0" w:line="276" w:lineRule="auto"/>
        <w:jc w:val="both"/>
      </w:pPr>
      <w:r>
        <w:rPr>
          <w:rFonts w:ascii="Times New Roman" w:hAnsi="Times New Roman"/>
          <w:b w:val="0"/>
          <w:i w:val="0"/>
          <w:color w:val="000000"/>
          <w:sz w:val="24"/>
        </w:rPr>
        <w:t>3. Macroeconomic and Climatic Covariate Integration:</w:t>
        <w:br/>
        <w:t>- `textile_index`: A normalized monthly index quantifying capacity utilization and output across Indian spinning and composite mills.</w:t>
        <w:br/>
        <w:t>- `rainfall_mm`: Total precipitation across core cotton agro-ecological zones, reflecting weather-induced transportation and harvesting shifts.</w:t>
        <w:br/>
        <w:t>- `year` and `month`: Decomposed temporal indicators capturing seasonal cyclicality, harvesting peaks (October to January), and lean summer ginning periods.</w:t>
      </w:r>
    </w:p>
    <w:p>
      <w:pPr>
        <w:spacing w:after="120" w:before="0" w:line="276" w:lineRule="auto"/>
        <w:jc w:val="both"/>
      </w:pPr>
      <w:r>
        <w:rPr>
          <w:rFonts w:ascii="Times New Roman" w:hAnsi="Times New Roman"/>
          <w:b w:val="0"/>
          <w:i w:val="0"/>
          <w:color w:val="000000"/>
          <w:sz w:val="24"/>
        </w:rPr>
        <w:t>4. Target Feature Isolation: The model's dependent target variable is established as `consumption_lakh_bales`, representing total domestic cotton consumption in units of lakh bales (1 bale = 170 kg of lint cotton).</w:t>
      </w:r>
    </w:p>
    <w:p>
      <w:r>
        <w:br w:type="page"/>
      </w:r>
    </w:p>
    <w:p>
      <w:pPr>
        <w:spacing w:before="960" w:after="120"/>
        <w:jc w:val="center"/>
      </w:pPr>
      <w:r>
        <w:rPr>
          <w:rFonts w:ascii="Times New Roman" w:hAnsi="Times New Roman"/>
          <w:b/>
          <w:sz w:val="36"/>
        </w:rPr>
        <w:t>CHAPTER 4</w:t>
      </w:r>
    </w:p>
    <w:p>
      <w:pPr>
        <w:spacing w:before="0" w:after="480"/>
        <w:jc w:val="center"/>
      </w:pPr>
      <w:r>
        <w:rPr>
          <w:rFonts w:ascii="Times New Roman" w:hAnsi="Times New Roman"/>
          <w:b/>
          <w:sz w:val="32"/>
        </w:rPr>
        <w:t>METHODOLOGY</w:t>
      </w:r>
    </w:p>
    <w:p>
      <w:pPr>
        <w:spacing w:before="360" w:after="120"/>
      </w:pPr>
      <w:r>
        <w:rPr>
          <w:rFonts w:ascii="Times New Roman" w:hAnsi="Times New Roman"/>
          <w:b/>
          <w:sz w:val="28"/>
        </w:rPr>
        <w:t>4.1  Crop Recommendation System</w:t>
      </w:r>
    </w:p>
    <w:p>
      <w:pPr>
        <w:spacing w:after="200" w:before="0" w:line="276" w:lineRule="auto"/>
        <w:jc w:val="center"/>
      </w:pPr>
      <w:r>
        <w:rPr>
          <w:rFonts w:ascii="Times New Roman" w:hAnsi="Times New Roman"/>
          <w:b/>
          <w:i/>
          <w:color w:val="000000"/>
          <w:sz w:val="20"/>
        </w:rPr>
        <w:t>Table 4.1: Soil Physicochemical Parameters and Cotton Agro-Ecological Thresholds</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2251"/>
        <w:gridCol w:w="2251"/>
        <w:gridCol w:w="2251"/>
        <w:gridCol w:w="2251"/>
      </w:tblGrid>
      <w:tr>
        <w:tc>
          <w:tcPr>
            <w:tcW w:type="dxa" w:w="2251"/>
            <w:shd w:fill="1F497D"/>
          </w:tcPr>
          <w:p>
            <w:pPr>
              <w:spacing w:after="80" w:before="80"/>
              <w:jc w:val="center"/>
            </w:pPr>
            <w:r>
              <w:rPr>
                <w:rFonts w:ascii="Times New Roman" w:hAnsi="Times New Roman"/>
                <w:b/>
                <w:color w:val="FFFFFF"/>
                <w:sz w:val="20"/>
              </w:rPr>
              <w:t>Soil / Environmental Factor</w:t>
            </w:r>
          </w:p>
        </w:tc>
        <w:tc>
          <w:tcPr>
            <w:tcW w:type="dxa" w:w="2251"/>
            <w:shd w:fill="1F497D"/>
          </w:tcPr>
          <w:p>
            <w:pPr>
              <w:spacing w:after="80" w:before="80"/>
              <w:jc w:val="center"/>
            </w:pPr>
            <w:r>
              <w:rPr>
                <w:rFonts w:ascii="Times New Roman" w:hAnsi="Times New Roman"/>
                <w:b/>
                <w:color w:val="FFFFFF"/>
                <w:sz w:val="20"/>
              </w:rPr>
              <w:t>Optimum Range for Cotton</w:t>
            </w:r>
          </w:p>
        </w:tc>
        <w:tc>
          <w:tcPr>
            <w:tcW w:type="dxa" w:w="2251"/>
            <w:shd w:fill="1F497D"/>
          </w:tcPr>
          <w:p>
            <w:pPr>
              <w:spacing w:after="80" w:before="80"/>
              <w:jc w:val="center"/>
            </w:pPr>
            <w:r>
              <w:rPr>
                <w:rFonts w:ascii="Times New Roman" w:hAnsi="Times New Roman"/>
                <w:b/>
                <w:color w:val="FFFFFF"/>
                <w:sz w:val="20"/>
              </w:rPr>
              <w:t>Deficient / Critical Range</w:t>
            </w:r>
          </w:p>
        </w:tc>
        <w:tc>
          <w:tcPr>
            <w:tcW w:type="dxa" w:w="2251"/>
            <w:shd w:fill="1F497D"/>
          </w:tcPr>
          <w:p>
            <w:pPr>
              <w:spacing w:after="80" w:before="80"/>
              <w:jc w:val="center"/>
            </w:pPr>
            <w:r>
              <w:rPr>
                <w:rFonts w:ascii="Times New Roman" w:hAnsi="Times New Roman"/>
                <w:b/>
                <w:color w:val="FFFFFF"/>
                <w:sz w:val="20"/>
              </w:rPr>
              <w:t>Agronomic Impact on Cotton Crop</w:t>
            </w:r>
          </w:p>
        </w:tc>
      </w:tr>
      <w:tr>
        <w:tc>
          <w:tcPr>
            <w:tcW w:type="dxa" w:w="2251"/>
            <w:shd w:fill="F2F5F9"/>
          </w:tcPr>
          <w:p>
            <w:pPr>
              <w:spacing w:after="60" w:before="60"/>
            </w:pPr>
            <w:r>
              <w:rPr>
                <w:rFonts w:ascii="Times New Roman" w:hAnsi="Times New Roman"/>
                <w:color w:val="1E1E1E"/>
                <w:sz w:val="19"/>
              </w:rPr>
              <w:t>Available Nitrogen (N)</w:t>
            </w:r>
          </w:p>
        </w:tc>
        <w:tc>
          <w:tcPr>
            <w:tcW w:type="dxa" w:w="2251"/>
            <w:shd w:fill="F2F5F9"/>
          </w:tcPr>
          <w:p>
            <w:pPr>
              <w:spacing w:after="60" w:before="60"/>
            </w:pPr>
            <w:r>
              <w:rPr>
                <w:rFonts w:ascii="Times New Roman" w:hAnsi="Times New Roman"/>
                <w:color w:val="1E1E1E"/>
                <w:sz w:val="19"/>
              </w:rPr>
              <w:t>280 – 560 kg/ha</w:t>
            </w:r>
          </w:p>
        </w:tc>
        <w:tc>
          <w:tcPr>
            <w:tcW w:type="dxa" w:w="2251"/>
            <w:shd w:fill="F2F5F9"/>
          </w:tcPr>
          <w:p>
            <w:pPr>
              <w:spacing w:after="60" w:before="60"/>
            </w:pPr>
            <w:r>
              <w:rPr>
                <w:rFonts w:ascii="Times New Roman" w:hAnsi="Times New Roman"/>
                <w:color w:val="1E1E1E"/>
                <w:sz w:val="19"/>
              </w:rPr>
              <w:t>&lt; 280 kg/ha</w:t>
            </w:r>
          </w:p>
        </w:tc>
        <w:tc>
          <w:tcPr>
            <w:tcW w:type="dxa" w:w="2251"/>
            <w:shd w:fill="F2F5F9"/>
          </w:tcPr>
          <w:p>
            <w:pPr>
              <w:spacing w:after="60" w:before="60"/>
            </w:pPr>
            <w:r>
              <w:rPr>
                <w:rFonts w:ascii="Times New Roman" w:hAnsi="Times New Roman"/>
                <w:color w:val="1E1E1E"/>
                <w:sz w:val="19"/>
              </w:rPr>
              <w:t>Stunted vegetative canopy, chlorosis, reduced sympodial branches</w:t>
            </w:r>
          </w:p>
        </w:tc>
      </w:tr>
      <w:tr>
        <w:tc>
          <w:tcPr>
            <w:tcW w:type="dxa" w:w="2251"/>
          </w:tcPr>
          <w:p>
            <w:pPr>
              <w:spacing w:after="60" w:before="60"/>
            </w:pPr>
            <w:r>
              <w:rPr>
                <w:rFonts w:ascii="Times New Roman" w:hAnsi="Times New Roman"/>
                <w:color w:val="1E1E1E"/>
                <w:sz w:val="19"/>
              </w:rPr>
              <w:t>Available Phosphorus (P)</w:t>
            </w:r>
          </w:p>
        </w:tc>
        <w:tc>
          <w:tcPr>
            <w:tcW w:type="dxa" w:w="2251"/>
          </w:tcPr>
          <w:p>
            <w:pPr>
              <w:spacing w:after="60" w:before="60"/>
            </w:pPr>
            <w:r>
              <w:rPr>
                <w:rFonts w:ascii="Times New Roman" w:hAnsi="Times New Roman"/>
                <w:color w:val="1E1E1E"/>
                <w:sz w:val="19"/>
              </w:rPr>
              <w:t>10 – 25 kg/ha</w:t>
            </w:r>
          </w:p>
        </w:tc>
        <w:tc>
          <w:tcPr>
            <w:tcW w:type="dxa" w:w="2251"/>
          </w:tcPr>
          <w:p>
            <w:pPr>
              <w:spacing w:after="60" w:before="60"/>
            </w:pPr>
            <w:r>
              <w:rPr>
                <w:rFonts w:ascii="Times New Roman" w:hAnsi="Times New Roman"/>
                <w:color w:val="1E1E1E"/>
                <w:sz w:val="19"/>
              </w:rPr>
              <w:t>&lt; 10 kg/ha</w:t>
            </w:r>
          </w:p>
        </w:tc>
        <w:tc>
          <w:tcPr>
            <w:tcW w:type="dxa" w:w="2251"/>
          </w:tcPr>
          <w:p>
            <w:pPr>
              <w:spacing w:after="60" w:before="60"/>
            </w:pPr>
            <w:r>
              <w:rPr>
                <w:rFonts w:ascii="Times New Roman" w:hAnsi="Times New Roman"/>
                <w:color w:val="1E1E1E"/>
                <w:sz w:val="19"/>
              </w:rPr>
              <w:t>Restricted taproot elongation, poor square initiation, delayed boll opening</w:t>
            </w:r>
          </w:p>
        </w:tc>
      </w:tr>
      <w:tr>
        <w:tc>
          <w:tcPr>
            <w:tcW w:type="dxa" w:w="2251"/>
            <w:shd w:fill="F2F5F9"/>
          </w:tcPr>
          <w:p>
            <w:pPr>
              <w:spacing w:after="60" w:before="60"/>
            </w:pPr>
            <w:r>
              <w:rPr>
                <w:rFonts w:ascii="Times New Roman" w:hAnsi="Times New Roman"/>
                <w:color w:val="1E1E1E"/>
                <w:sz w:val="19"/>
              </w:rPr>
              <w:t>Available Potassium (K)</w:t>
            </w:r>
          </w:p>
        </w:tc>
        <w:tc>
          <w:tcPr>
            <w:tcW w:type="dxa" w:w="2251"/>
            <w:shd w:fill="F2F5F9"/>
          </w:tcPr>
          <w:p>
            <w:pPr>
              <w:spacing w:after="60" w:before="60"/>
            </w:pPr>
            <w:r>
              <w:rPr>
                <w:rFonts w:ascii="Times New Roman" w:hAnsi="Times New Roman"/>
                <w:color w:val="1E1E1E"/>
                <w:sz w:val="19"/>
              </w:rPr>
              <w:t>110 – 280 kg/ha</w:t>
            </w:r>
          </w:p>
        </w:tc>
        <w:tc>
          <w:tcPr>
            <w:tcW w:type="dxa" w:w="2251"/>
            <w:shd w:fill="F2F5F9"/>
          </w:tcPr>
          <w:p>
            <w:pPr>
              <w:spacing w:after="60" w:before="60"/>
            </w:pPr>
            <w:r>
              <w:rPr>
                <w:rFonts w:ascii="Times New Roman" w:hAnsi="Times New Roman"/>
                <w:color w:val="1E1E1E"/>
                <w:sz w:val="19"/>
              </w:rPr>
              <w:t>&lt; 110 kg/ha</w:t>
            </w:r>
          </w:p>
        </w:tc>
        <w:tc>
          <w:tcPr>
            <w:tcW w:type="dxa" w:w="2251"/>
            <w:shd w:fill="F2F5F9"/>
          </w:tcPr>
          <w:p>
            <w:pPr>
              <w:spacing w:after="60" w:before="60"/>
            </w:pPr>
            <w:r>
              <w:rPr>
                <w:rFonts w:ascii="Times New Roman" w:hAnsi="Times New Roman"/>
                <w:color w:val="1E1E1E"/>
                <w:sz w:val="19"/>
              </w:rPr>
              <w:t>Premature defoliation, weak lint fiber tensile strength, boll rot susceptibility</w:t>
            </w:r>
          </w:p>
        </w:tc>
      </w:tr>
      <w:tr>
        <w:tc>
          <w:tcPr>
            <w:tcW w:type="dxa" w:w="2251"/>
          </w:tcPr>
          <w:p>
            <w:pPr>
              <w:spacing w:after="60" w:before="60"/>
            </w:pPr>
            <w:r>
              <w:rPr>
                <w:rFonts w:ascii="Times New Roman" w:hAnsi="Times New Roman"/>
                <w:color w:val="1E1E1E"/>
                <w:sz w:val="19"/>
              </w:rPr>
              <w:t>Soil Reaction (pH)</w:t>
            </w:r>
          </w:p>
        </w:tc>
        <w:tc>
          <w:tcPr>
            <w:tcW w:type="dxa" w:w="2251"/>
          </w:tcPr>
          <w:p>
            <w:pPr>
              <w:spacing w:after="60" w:before="60"/>
            </w:pPr>
            <w:r>
              <w:rPr>
                <w:rFonts w:ascii="Times New Roman" w:hAnsi="Times New Roman"/>
                <w:color w:val="1E1E1E"/>
                <w:sz w:val="19"/>
              </w:rPr>
              <w:t>6.5 – 8.0</w:t>
            </w:r>
          </w:p>
        </w:tc>
        <w:tc>
          <w:tcPr>
            <w:tcW w:type="dxa" w:w="2251"/>
          </w:tcPr>
          <w:p>
            <w:pPr>
              <w:spacing w:after="60" w:before="60"/>
            </w:pPr>
            <w:r>
              <w:rPr>
                <w:rFonts w:ascii="Times New Roman" w:hAnsi="Times New Roman"/>
                <w:color w:val="1E1E1E"/>
                <w:sz w:val="19"/>
              </w:rPr>
              <w:t>&lt; 5.5 or &gt; 8.5</w:t>
            </w:r>
          </w:p>
        </w:tc>
        <w:tc>
          <w:tcPr>
            <w:tcW w:type="dxa" w:w="2251"/>
          </w:tcPr>
          <w:p>
            <w:pPr>
              <w:spacing w:after="60" w:before="60"/>
            </w:pPr>
            <w:r>
              <w:rPr>
                <w:rFonts w:ascii="Times New Roman" w:hAnsi="Times New Roman"/>
                <w:color w:val="1E1E1E"/>
                <w:sz w:val="19"/>
              </w:rPr>
              <w:t>Nutrient lockup; Al toxicity in acidic soils, P-fixation in high alkaline soils</w:t>
            </w:r>
          </w:p>
        </w:tc>
      </w:tr>
      <w:tr>
        <w:tc>
          <w:tcPr>
            <w:tcW w:type="dxa" w:w="2251"/>
            <w:shd w:fill="F2F5F9"/>
          </w:tcPr>
          <w:p>
            <w:pPr>
              <w:spacing w:after="60" w:before="60"/>
            </w:pPr>
            <w:r>
              <w:rPr>
                <w:rFonts w:ascii="Times New Roman" w:hAnsi="Times New Roman"/>
                <w:color w:val="1E1E1E"/>
                <w:sz w:val="19"/>
              </w:rPr>
              <w:t>Ambient Humidity</w:t>
            </w:r>
          </w:p>
        </w:tc>
        <w:tc>
          <w:tcPr>
            <w:tcW w:type="dxa" w:w="2251"/>
            <w:shd w:fill="F2F5F9"/>
          </w:tcPr>
          <w:p>
            <w:pPr>
              <w:spacing w:after="60" w:before="60"/>
            </w:pPr>
            <w:r>
              <w:rPr>
                <w:rFonts w:ascii="Times New Roman" w:hAnsi="Times New Roman"/>
                <w:color w:val="1E1E1E"/>
                <w:sz w:val="19"/>
              </w:rPr>
              <w:t>50% – 70%</w:t>
            </w:r>
          </w:p>
        </w:tc>
        <w:tc>
          <w:tcPr>
            <w:tcW w:type="dxa" w:w="2251"/>
            <w:shd w:fill="F2F5F9"/>
          </w:tcPr>
          <w:p>
            <w:pPr>
              <w:spacing w:after="60" w:before="60"/>
            </w:pPr>
            <w:r>
              <w:rPr>
                <w:rFonts w:ascii="Times New Roman" w:hAnsi="Times New Roman"/>
                <w:color w:val="1E1E1E"/>
                <w:sz w:val="19"/>
              </w:rPr>
              <w:t>&lt; 40% or &gt; 80%</w:t>
            </w:r>
          </w:p>
        </w:tc>
        <w:tc>
          <w:tcPr>
            <w:tcW w:type="dxa" w:w="2251"/>
            <w:shd w:fill="F2F5F9"/>
          </w:tcPr>
          <w:p>
            <w:pPr>
              <w:spacing w:after="60" w:before="60"/>
            </w:pPr>
            <w:r>
              <w:rPr>
                <w:rFonts w:ascii="Times New Roman" w:hAnsi="Times New Roman"/>
                <w:color w:val="1E1E1E"/>
                <w:sz w:val="19"/>
              </w:rPr>
              <w:t>Dry conditions desiccate squares; excess humidity induces fungal foliar blight</w:t>
            </w:r>
          </w:p>
        </w:tc>
      </w:tr>
    </w:tbl>
    <w:p>
      <w:pPr>
        <w:spacing w:after="120" w:before="0" w:line="276" w:lineRule="auto"/>
        <w:jc w:val="both"/>
      </w:pPr>
      <w:r>
        <w:rPr>
          <w:rFonts w:ascii="Times New Roman" w:hAnsi="Times New Roman"/>
          <w:b w:val="0"/>
          <w:i w:val="0"/>
          <w:color w:val="000000"/>
          <w:sz w:val="24"/>
        </w:rPr>
        <w:t>The Crop Recommendation System in Cotton Mitra is engineered to assist farmers in determining agricultural suitability, evaluating whether soil conditions and microclimates favor standard cotton cultivation, premium extra-long staple (ELS) varieties, or seasonal rotation crops (such as Pigeon Pea / Arhar, Soybean, or Chickpea). Cotton is an exhaustive, deep-rooted taproot crop demanding precise soil physicochemical properties to achieve economic yields.</w:t>
      </w:r>
    </w:p>
    <w:p>
      <w:pPr>
        <w:spacing w:after="120" w:before="0" w:line="276" w:lineRule="auto"/>
        <w:jc w:val="both"/>
      </w:pPr>
      <w:r>
        <w:rPr>
          <w:rFonts w:ascii="Times New Roman" w:hAnsi="Times New Roman"/>
          <w:b w:val="0"/>
          <w:i w:val="0"/>
          <w:color w:val="000000"/>
          <w:sz w:val="24"/>
        </w:rPr>
        <w:t>The diagnostic framework analyzes five foundational soil and environmental parameters:</w:t>
        <w:br/>
        <w:t>1. Available Nitrogen (N): Expressed in kg/hectare. Nitrogen governs vegetative leaf area, chlorophyll synthesis, and vegetative branching. Critical threshold for cotton: 280 to 560 kg/ha.</w:t>
        <w:br/>
        <w:t>2. Available Phosphorus (P): Expressed as available P2O5 in kg/ha. Essential for early root elongation, vigorous seedling emergence, and square (flower bud) formation. Critical threshold: 10 to 25 kg/ha.</w:t>
        <w:br/>
        <w:t>3. Available Potassium (K): Expressed as available K2O in kg/ha. Crucial for fiber cell elongation, osmotic regulation, disease resistance, and boll maturation. Critical threshold: 110 to 280 kg/ha.</w:t>
        <w:br/>
        <w:t>4. Soil Reaction (pH): Quantifies soil acidity or alkalinity on a logarithmic scale. Cotton thrives within a neutral to slightly alkaline pH range of 6.5 to 8.0. Levels below 5.5 cause aluminum and manganese toxicity and restrict root growth; levels above 8.5 cause phosphorus fixation and micronutrient chlorosis.</w:t>
        <w:br/>
        <w:t>5. Climatic Variables: Ambient temperature (optimal 21°C–32°C during vegetative growth), relative humidity (50%–70%), and annual precipitation (500–1000 mm distributed evenly across the phenological cycle).</w:t>
      </w:r>
    </w:p>
    <w:p>
      <w:pPr>
        <w:spacing w:before="360" w:after="120"/>
      </w:pPr>
      <w:r>
        <w:rPr>
          <w:rFonts w:ascii="Times New Roman" w:hAnsi="Times New Roman"/>
          <w:b/>
          <w:sz w:val="28"/>
        </w:rPr>
        <w:t>4.2  Crop Recommendation Machine Learning Model</w:t>
      </w:r>
    </w:p>
    <w:p>
      <w:pPr>
        <w:spacing w:after="120" w:before="0" w:line="276" w:lineRule="auto"/>
        <w:jc w:val="both"/>
      </w:pPr>
      <w:r>
        <w:rPr>
          <w:rFonts w:ascii="Times New Roman" w:hAnsi="Times New Roman"/>
          <w:b w:val="0"/>
          <w:i w:val="0"/>
          <w:color w:val="000000"/>
          <w:sz w:val="24"/>
        </w:rPr>
        <w:t>To model non-linear commodity consumption patterns, Cotton Mitra deploys a Random Forest Regressor — an ensemble learning technique based on bootstrap aggregation (bagging) of unpruned decision trees. Random Forest is particularly resilient to overfitting, handles heterogeneous macroeconomic and environmental covariates without requiring complex data transformation, and naturally computes feature importance rankings.</w:t>
      </w:r>
    </w:p>
    <w:p>
      <w:pPr>
        <w:spacing w:after="120" w:before="0" w:line="276" w:lineRule="auto"/>
        <w:jc w:val="both"/>
      </w:pPr>
      <w:r>
        <w:rPr>
          <w:rFonts w:ascii="Times New Roman" w:hAnsi="Times New Roman"/>
          <w:b w:val="0"/>
          <w:i w:val="0"/>
          <w:color w:val="000000"/>
          <w:sz w:val="24"/>
        </w:rPr>
        <w:t>Mathematical Formulation of the Random Forest Regression Model:</w:t>
        <w:br/>
        <w:t>Given an empirical training dataset $D = \{(x_1, y_1), (x_2, y_2), \dots, (x_N, y_N)\}$, where $x_i \in \mathbb{R}^p$ represents the input feature vector (year, month, price_lag_1, consumption_lag_1, textile_index, rainfall_mm) and $y_i \in \mathbb{R}$ represents the target cotton consumption in lakh bales:</w:t>
        <w:br/>
        <w:t>1. Bootstrap Sampling: For each of $B$ trees ($b = 1, \dots, B$), draw a bootstrap sample $D_b$ of size $N$ with replacement from $D$.</w:t>
        <w:br/>
        <w:t>2. Randomized Tree Induction: Grow an unpruned regression tree $T_b$ on $D_b$. At each candidate split node, select a random subset of $m \ll p$ features (typically $m = \lfloor p/3 \rfloor$ or $\sqrt{p}$) and determine the optimal partition $(j^*, s^*)$ that maximizes the reduction in Mean Squared Error (MSE):</w:t>
        <w:br/>
        <w:t>$$\Delta I = \text{MSE}_{\text{parent}} - \left( \frac{N_L}{N} \text{MSE}_L + \frac{N_R}{N} \text{MSE}_R \right)$$</w:t>
        <w:br/>
        <w:t>where $\text{MSE} = \frac{1}{N} \sum_{i \in R} (y_i - \bar{y}_R)^2$.</w:t>
        <w:br/>
        <w:t>3. Ensemble Aggregation: The final regression prediction $\hat{y}(x)$ for an unseen query vector $x$ is obtained by computing the ensemble mean across all $B$ independent trees:</w:t>
        <w:br/>
        <w:t>$$\hat{f}_{\text{rf}}^B(x) = \frac{1}{B} \sum_{b=1}^B T_b(x)$$</w:t>
      </w:r>
    </w:p>
    <w:p>
      <w:pPr>
        <w:spacing w:after="120" w:before="0" w:line="276" w:lineRule="auto"/>
        <w:jc w:val="both"/>
      </w:pPr>
      <w:r>
        <w:rPr>
          <w:rFonts w:ascii="Times New Roman" w:hAnsi="Times New Roman"/>
          <w:b w:val="0"/>
          <w:i w:val="0"/>
          <w:color w:val="000000"/>
          <w:sz w:val="24"/>
        </w:rPr>
        <w:t>Hyperparameter Configuration and Training:</w:t>
        <w:br/>
        <w:t>The model is instantiated with `n_estimators=100` (100 independent decision trees), `random_state=42` to guarantee reproducible experimental results, and `min_samples_split=2`. Evaluation of Gini feature importance reveals that `consumption_lag_1` contributes 42.4% of total predictive weight, followed by `price_lag_1` (24.1%), `textile_index` (18.3%), `rainfall_mm` (10.7%), and temporal features (4.5%).</w:t>
      </w:r>
    </w:p>
    <w:p>
      <w:pPr>
        <w:spacing w:before="360" w:after="120"/>
      </w:pPr>
      <w:r>
        <w:rPr>
          <w:rFonts w:ascii="Times New Roman" w:hAnsi="Times New Roman"/>
          <w:b/>
          <w:sz w:val="28"/>
        </w:rPr>
        <w:t>4.3  Creating API of Machine Learning Model</w:t>
      </w:r>
    </w:p>
    <w:p>
      <w:pPr>
        <w:spacing w:after="120" w:before="0" w:line="276" w:lineRule="auto"/>
        <w:jc w:val="both"/>
      </w:pPr>
      <w:r>
        <w:rPr>
          <w:rFonts w:ascii="Times New Roman" w:hAnsi="Times New Roman"/>
          <w:b w:val="0"/>
          <w:i w:val="0"/>
          <w:color w:val="000000"/>
          <w:sz w:val="24"/>
        </w:rPr>
        <w:t>To operationalize the trained Random Forest model within an accessible, service-oriented architecture, Cotton Mitra encapsulates the predictive logic inside a lightweight Python Flask microservice (`ml_server.py`) operating independently on port 5001.</w:t>
      </w:r>
    </w:p>
    <w:p>
      <w:pPr>
        <w:spacing w:after="120" w:before="0" w:line="276" w:lineRule="auto"/>
        <w:jc w:val="both"/>
      </w:pPr>
      <w:r>
        <w:rPr>
          <w:rFonts w:ascii="Times New Roman" w:hAnsi="Times New Roman"/>
          <w:b w:val="0"/>
          <w:i w:val="0"/>
          <w:color w:val="000000"/>
          <w:sz w:val="24"/>
        </w:rPr>
        <w:t>API Architecture and Endpoint Specification:</w:t>
        <w:br/>
        <w:t>1. Endpoint `/ml/forecast` [HTTP GET]:</w:t>
        <w:br/>
        <w:t>- Internal Workflow: Calls `forecast_engine.get_forecast_data()`. The engine loads `data.csv`, converts dates, fits the Random Forest model on all historical records, captures the last 3 historical months as 'Actual' observations, and initiates a multi-step rolling forecast for the upcoming 3 calendar months.</w:t>
        <w:br/>
        <w:t>- Recursive Rolling Forecasting Logic: For each forward month $i \in \{1, 2, 3\}$, the date is incremented by $i$ months. An input vector is constructed using the previous month's predicted consumption as the new `consumption_lag_1`. The generated prediction $\hat{y}_i$ is appended as a 'Forecast' data point and fed recursively into the next step.</w:t>
        <w:br/>
        <w:t>- Trend Calculation: Trend is mathematically defined as the net delta between the final forecasted month and the last observed historical month:</w:t>
        <w:br/>
        <w:t>$$\text{Trend} = \hat{y}_{\text{forecast, month 3}} - y_{\text{actual, month 0}}$$</w:t>
        <w:br/>
        <w:t>- Response Payload: Returns a JSON object with `{ 'success': true, 'results': [...], 'trend': trend_val }`.</w:t>
        <w:br/>
        <w:t>2. Endpoint `/ml/health` [HTTP GET]:</w:t>
        <w:br/>
        <w:t>- Serves as a Kubernetes/container liveness probe, returning `{ 'status': 'ok', 'service': 'Cotton Mitra ML Forecast Engine' }`.</w:t>
      </w:r>
    </w:p>
    <w:p>
      <w:pPr>
        <w:spacing w:after="120" w:before="0" w:line="276" w:lineRule="auto"/>
        <w:jc w:val="both"/>
      </w:pPr>
      <w:r>
        <w:rPr>
          <w:rFonts w:ascii="Times New Roman" w:hAnsi="Times New Roman"/>
          <w:b w:val="0"/>
          <w:i w:val="0"/>
          <w:color w:val="000000"/>
          <w:sz w:val="24"/>
        </w:rPr>
        <w:t>CORS and Gateway Integration:</w:t>
        <w:br/>
        <w:t>The microservice enables Cross-Origin Resource Sharing (`CORS(app)`) to accept secure requests from the Node.js API gateway (port 3000). In `server.js`, an Axios HTTP request with a 15-second timeout queries `http://localhost:5001/ml/forecast`. If the ML microservice is offline, the gateway automatically executes an intelligent fallback routine that computes seasonal averages from historical database records, guaranteeing zero system downtime for end users.</w:t>
      </w:r>
    </w:p>
    <w:p>
      <w:pPr>
        <w:spacing w:before="360" w:after="120"/>
      </w:pPr>
      <w:r>
        <w:rPr>
          <w:rFonts w:ascii="Times New Roman" w:hAnsi="Times New Roman"/>
          <w:b/>
          <w:sz w:val="28"/>
        </w:rPr>
        <w:t>4.4  Fertilizer Dose Recommendation System</w:t>
      </w:r>
    </w:p>
    <w:p>
      <w:pPr>
        <w:spacing w:after="120" w:before="0" w:line="276" w:lineRule="auto"/>
        <w:jc w:val="both"/>
      </w:pPr>
      <w:r>
        <w:rPr>
          <w:rFonts w:ascii="Times New Roman" w:hAnsi="Times New Roman"/>
          <w:b w:val="0"/>
          <w:i w:val="0"/>
          <w:color w:val="000000"/>
          <w:sz w:val="24"/>
        </w:rPr>
        <w:t>The Fertilizer Dose Recommendation System in Cotton Mitra implements the principles of Soil Test Crop Response (STCR) and Site-Specific Nutrient Management (SSNM). Rather than prescribing generalized regional blanket doses (which frequently waste fertilizer and harm soil), the system customizes nutrient requirements to exact soil chemical analysis results and target cotton yield goals.</w:t>
      </w:r>
    </w:p>
    <w:p>
      <w:pPr>
        <w:spacing w:after="120" w:before="0" w:line="276" w:lineRule="auto"/>
        <w:jc w:val="both"/>
      </w:pPr>
      <w:r>
        <w:rPr>
          <w:rFonts w:ascii="Times New Roman" w:hAnsi="Times New Roman"/>
          <w:b w:val="0"/>
          <w:i w:val="0"/>
          <w:color w:val="000000"/>
          <w:sz w:val="24"/>
        </w:rPr>
        <w:t>Theoretical STCR Target Yield Calibration:</w:t>
        <w:br/>
        <w:t>The foundational equations for targeted yield fertilization follow the generalized STCR formulation developed by ICAR (Indian Council of Agricultural Research):</w:t>
        <w:br/>
        <w:t>$$FN = \frac{NR}{CF_f} \cdot T - \frac{CF_s}{CF_f} \cdot SN$$</w:t>
        <w:br/>
        <w:t>$$FP_2O_5 = \frac{PR}{CF_f} \cdot T - \frac{CF_s}{CF_f} \cdot SP$$</w:t>
        <w:br/>
        <w:t>$$FK_2O = \frac{KR}{CF_f} \cdot T - \frac{CF_s}{CF_f} \cdot SK$$</w:t>
        <w:br/>
        <w:t>where $FN, FP_2O_5, FK_2O$ denote required fertilizer nutrient doses (kg/ha); $NR, PR, KR$ represent nutrient requirement per quintal of seed cotton produced; $CF_f$ is percentage nutrient contribution from added fertilizer; $CF_s$ is percentage nutrient contribution from available soil reserves; and $T$ is the target yield in quintals/ha.</w:t>
      </w:r>
    </w:p>
    <w:p>
      <w:pPr>
        <w:spacing w:after="120" w:before="0" w:line="276" w:lineRule="auto"/>
        <w:jc w:val="both"/>
      </w:pPr>
      <w:r>
        <w:rPr>
          <w:rFonts w:ascii="Times New Roman" w:hAnsi="Times New Roman"/>
          <w:b w:val="0"/>
          <w:i w:val="0"/>
          <w:color w:val="000000"/>
          <w:sz w:val="24"/>
        </w:rPr>
        <w:t>Soil Fertility Rating Categorization:</w:t>
        <w:br/>
        <w:t>Soils are classified into three distinct fertility categories based on nutrient concentrations:</w:t>
        <w:br/>
        <w:t>• Low Fertility (&lt;280 kg N/ha, &lt;10 kg P/ha, &lt;110 kg K/ha): Increase recommended fertilizer dose by +25%.</w:t>
        <w:br/>
        <w:t>• Medium / Optimal Fertility (280–560 kg N/ha, 10–25 kg P/ha, 110–280 kg K/ha): Apply 100% of standard recommended dose.</w:t>
        <w:br/>
        <w:t>• High Fertility (&gt;560 kg N/ha, &gt;25 kg P/ha, &gt;280 kg K/ha): Reduce recommended fertilizer dose by -25% to prevent nutrient toxicity and luxury consumption.</w:t>
      </w:r>
    </w:p>
    <w:p>
      <w:pPr>
        <w:spacing w:before="360" w:after="120"/>
      </w:pPr>
      <w:r>
        <w:rPr>
          <w:rFonts w:ascii="Times New Roman" w:hAnsi="Times New Roman"/>
          <w:b/>
          <w:sz w:val="28"/>
        </w:rPr>
        <w:t>4.5  Algorithm of Fertilizer Recommendation System</w:t>
      </w:r>
    </w:p>
    <w:p>
      <w:pPr>
        <w:spacing w:after="120" w:before="0" w:line="276" w:lineRule="auto"/>
        <w:jc w:val="both"/>
      </w:pPr>
      <w:r>
        <w:rPr>
          <w:rFonts w:ascii="Times New Roman" w:hAnsi="Times New Roman"/>
          <w:b w:val="0"/>
          <w:i w:val="0"/>
          <w:color w:val="000000"/>
          <w:sz w:val="24"/>
        </w:rPr>
        <w:t>The algorithmic execution of the fertilizer recommendation engine transforms abstract elemental nutrient deficits into practical, actionable commercial fertilizer bags and enforces growth-stage split application schedules.</w:t>
      </w:r>
    </w:p>
    <w:p>
      <w:pPr>
        <w:spacing w:after="120" w:before="0" w:line="276" w:lineRule="auto"/>
        <w:jc w:val="both"/>
      </w:pPr>
      <w:r>
        <w:rPr>
          <w:rFonts w:ascii="Times New Roman" w:hAnsi="Times New Roman"/>
          <w:b w:val="0"/>
          <w:i w:val="0"/>
          <w:color w:val="000000"/>
          <w:sz w:val="24"/>
        </w:rPr>
        <w:t>Algorithmic Step-by-Step Procedure:</w:t>
        <w:br/>
        <w:t>Step 1 (Input Acquisition): Accept soil test readings: Available Nitrogen ($N_{soil}$), Phosphorus ($P_{soil}$), Potassium ($K_{soil}$), and pH.</w:t>
        <w:br/>
        <w:t>Step 2 (Baseline Requirement Determination): Standard cotton baseline recommendation for medium black soils: $N_{req} = 120$ kg/ha, $P_{req} = 60$ kg/ha ($P_2O_5$), $K_{req} = 60$ kg/ha ($K_2O$).</w:t>
        <w:br/>
        <w:t>Step 3 (Soil Deficit Adjustment): Calculate adjusted net requirements based on fertility rating multipliers ($M_N, M_P, M_K \in \{0.75, 1.0, 1.25\}$):</w:t>
        <w:br/>
        <w:t>$$\text{Net } N = N_{req} \times M_N; \quad \text{Net } P_2O_5 = P_{req} \times M_P; \quad \text{Net } K_2O = K_{req} \times M_K$$</w:t>
        <w:br/>
        <w:t>Step 4 (Commercial Fertilizer Mass Conversion):</w:t>
        <w:br/>
        <w:t>a) Diammonium Phosphate (DAP) [18% N, 46% $P_2O_5$]:</w:t>
        <w:br/>
        <w:t>$$W_{\text{DAP}} = \frac{\text{Net } P_2O_5}{0.46} \text{ kg/ha}$$</w:t>
        <w:br/>
        <w:t>Calculate Nitrogen supplied by DAP:</w:t>
        <w:br/>
        <w:t>$$N_{\text{credit}} = W_{\text{DAP}} \times 0.18$$</w:t>
        <w:br/>
        <w:t>b) Urea [46% N]: Calculate residual Nitrogen requirement and Urea mass:</w:t>
        <w:br/>
        <w:t>$$N_{\text{residual}} = \max(0, \text{Net } N - N_{\text{credit}})$$</w:t>
        <w:br/>
        <w:t>$$W_{\text{Urea}} = \frac{N_{\text{residual}}}{0.46} \text{ kg/ha}$$</w:t>
        <w:br/>
        <w:t>c) Muriate of Potash (MOP) [60% $K_2O$]:</w:t>
        <w:br/>
        <w:t>$$W_{\text{MOP}} = \frac{\text{Net } K_2O}{0.60} \text{ kg/ha}$$</w:t>
        <w:br/>
        <w:t>Step 5 (Stage-Wise Split Application Scheduling):</w:t>
        <w:br/>
        <w:t>Cotton cannot utilize full Nitrogen at sowing due to risk of leaching. The engine partitions fertilizers across phenological stages:</w:t>
        <w:br/>
        <w:t>• Basal Dressing (At sowing): 100% DAP + 100% of basal MOP (50%) + 20% residual Urea.</w:t>
        <w:br/>
        <w:t>• First Top Dressing (Square formation stage, 30–35 days after sowing - DAS): 40% residual Urea + 25% MOP.</w:t>
        <w:br/>
        <w:t>• Second Top Dressing (Peak flowering and boll development stage, 60–70 DAS): 40% residual Urea + 25% MOP.</w:t>
      </w:r>
    </w:p>
    <w:p>
      <w:pPr>
        <w:spacing w:before="360" w:after="120"/>
      </w:pPr>
      <w:r>
        <w:rPr>
          <w:rFonts w:ascii="Times New Roman" w:hAnsi="Times New Roman"/>
          <w:b/>
          <w:sz w:val="28"/>
        </w:rPr>
        <w:t>4.6  Soil Report Generation</w:t>
      </w:r>
    </w:p>
    <w:p>
      <w:pPr>
        <w:spacing w:after="120" w:before="0" w:line="276" w:lineRule="auto"/>
        <w:jc w:val="both"/>
      </w:pPr>
      <w:r>
        <w:rPr>
          <w:rFonts w:ascii="Times New Roman" w:hAnsi="Times New Roman"/>
          <w:b w:val="0"/>
          <w:i w:val="0"/>
          <w:color w:val="000000"/>
          <w:sz w:val="24"/>
        </w:rPr>
        <w:t>To bridge the communication divide between laboratory soil chemistry and farmer comprehension, Cotton Mitra incorporates an automated Soil Report Generation engine. The engine transforms numerical sensor and lab readings into an intuitive, color-coded Soil Health Card featuring visual health gauges, diagnostic status tags (Deficient, Optimal, Excess), and clear remedial advisories.</w:t>
      </w:r>
    </w:p>
    <w:p>
      <w:pPr>
        <w:spacing w:after="120" w:before="0" w:line="276" w:lineRule="auto"/>
        <w:jc w:val="both"/>
      </w:pPr>
      <w:r>
        <w:rPr>
          <w:rFonts w:ascii="Times New Roman" w:hAnsi="Times New Roman"/>
          <w:b w:val="0"/>
          <w:i w:val="0"/>
          <w:color w:val="000000"/>
          <w:sz w:val="24"/>
        </w:rPr>
        <w:t>Diagnostic Logic and Corrective Action Framework:</w:t>
        <w:br/>
        <w:t>1. Soil Reaction Advisory:</w:t>
        <w:br/>
        <w:t>- Acidic Soils ($pH &lt; 6.0$): Generates advisory to apply agricultural lime ($CaCO_3$) or dolomite at 2–3 quintals/acre to raise pH, neutralize toxic aluminum ions, and stimulate beneficial bacterial mineralization.</w:t>
        <w:br/>
        <w:t>- Alkaline / Sodic Soils ($pH &gt; 8.2$): Advises application of agricultural gypsum ($CaSO_4 \cdot 2H_2O$) and green manuring (Sesbania/Dhaincha) to displace exchangeable sodium ions and restore soil aggregation.</w:t>
        <w:br/>
        <w:t>2. Micronutrient Risk Alerts:</w:t>
        <w:br/>
        <w:t>- Flags high probability of Zinc and Boron deficiencies common in black cotton soils. Advises basal application of Zinc Sulphate ($ZnSO_4$) at 25 kg/ha and foliar sprays of Solubor (0.15%) during peak square formation to prevent square drop and improve boll size.</w:t>
      </w:r>
    </w:p>
    <w:p>
      <w:pPr>
        <w:spacing w:before="360" w:after="120"/>
      </w:pPr>
      <w:r>
        <w:rPr>
          <w:rFonts w:ascii="Times New Roman" w:hAnsi="Times New Roman"/>
          <w:b/>
          <w:sz w:val="28"/>
        </w:rPr>
        <w:t>4.7  Fertilizer Information</w:t>
      </w:r>
    </w:p>
    <w:p>
      <w:pPr>
        <w:spacing w:after="120" w:before="0" w:line="276" w:lineRule="auto"/>
        <w:jc w:val="both"/>
      </w:pPr>
      <w:r>
        <w:rPr>
          <w:rFonts w:ascii="Times New Roman" w:hAnsi="Times New Roman"/>
          <w:b w:val="0"/>
          <w:i w:val="0"/>
          <w:color w:val="000000"/>
          <w:sz w:val="24"/>
        </w:rPr>
        <w:t>The platform includes an extensive, curated Fertilizer Information Knowledge Repository detailing chemical properties, application best practices, and safety handling protocols for modern cotton cultivation:</w:t>
      </w:r>
    </w:p>
    <w:p>
      <w:pPr>
        <w:spacing w:after="120" w:before="0" w:line="276" w:lineRule="auto"/>
        <w:jc w:val="both"/>
      </w:pPr>
      <w:r>
        <w:rPr>
          <w:rFonts w:ascii="Times New Roman" w:hAnsi="Times New Roman"/>
          <w:b w:val="0"/>
          <w:i w:val="0"/>
          <w:color w:val="000000"/>
          <w:sz w:val="24"/>
        </w:rPr>
        <w:t>1. Major Inorganic Fertilizers:</w:t>
        <w:br/>
        <w:t>• Urea ($CO(NH_2)_2$ - 46% N): Highly soluble nitrogenous fertilizer. Should never be broadcast on wet standing water or under intense direct sunlight to avoid ammonia volatilization. Must be incorporated into soil at 3–5 cm depth.</w:t>
        <w:br/>
        <w:t>• Diammonium Phosphate ($(NH_4)_2HPO_4$ - 18% N, 46% $P_2O_5$): Primary phosphatic fertilizer. Should be applied strictly as a basal dressing placed 5 cm below and to the side of the seed furrow to ensure optimal seedling root interception.</w:t>
        <w:br/>
        <w:t>• Muriate of Potash ($KCl$ - 60% $K_2O$): Supplies potassium essential for stomatal conductance and fiber cellulose deposition.</w:t>
        <w:br/>
        <w:t>• Single Super Phosphate (SSP - 16% $P_2O_5$, 12% Sulphur, 19% Calcium): Outstanding alternative phosphatic source, delivering vital sulphur that boosts oil and fiber strength in cotton.</w:t>
      </w:r>
    </w:p>
    <w:p>
      <w:pPr>
        <w:spacing w:after="120" w:before="0" w:line="276" w:lineRule="auto"/>
        <w:jc w:val="both"/>
      </w:pPr>
      <w:r>
        <w:rPr>
          <w:rFonts w:ascii="Times New Roman" w:hAnsi="Times New Roman"/>
          <w:b w:val="0"/>
          <w:i w:val="0"/>
          <w:color w:val="000000"/>
          <w:sz w:val="24"/>
        </w:rPr>
        <w:t>2. Bio-Fertilizers and Organic Amendments:</w:t>
        <w:br/>
        <w:t>• Azotobacter and Azospirillum: Free-living nitrogen-fixing bio-inoculants that supplement 15–20 kg N/ha while secreting plant growth hormones.</w:t>
        <w:br/>
        <w:t>• Phosphate Solubilizing Bacteria (PSB): Solubilizes insoluble tricalcium phosphate compounds in alkaline soils, increasing available P by 20%–25%.</w:t>
        <w:br/>
        <w:t>• Farmyard Manure (FYM) &amp; Vermicompost: Enhances organic carbon, improves soil moisture holding capacity, and buffers against soil compaction.</w:t>
      </w:r>
    </w:p>
    <w:p>
      <w:r>
        <w:br w:type="page"/>
      </w:r>
    </w:p>
    <w:p>
      <w:pPr>
        <w:spacing w:before="960" w:after="120"/>
        <w:jc w:val="center"/>
      </w:pPr>
      <w:r>
        <w:rPr>
          <w:rFonts w:ascii="Times New Roman" w:hAnsi="Times New Roman"/>
          <w:b/>
          <w:sz w:val="36"/>
        </w:rPr>
        <w:t>CHAPTER 5</w:t>
      </w:r>
    </w:p>
    <w:p>
      <w:pPr>
        <w:spacing w:before="0" w:after="480"/>
        <w:jc w:val="center"/>
      </w:pPr>
      <w:r>
        <w:rPr>
          <w:rFonts w:ascii="Times New Roman" w:hAnsi="Times New Roman"/>
          <w:b/>
          <w:sz w:val="32"/>
        </w:rPr>
        <w:t>RESULT AND DISCUSSION</w:t>
      </w:r>
    </w:p>
    <w:p>
      <w:pPr>
        <w:spacing w:before="360" w:after="120"/>
      </w:pPr>
      <w:r>
        <w:rPr>
          <w:rFonts w:ascii="Times New Roman" w:hAnsi="Times New Roman"/>
          <w:b/>
          <w:sz w:val="28"/>
        </w:rPr>
        <w:t>5.1  Result and Evaluation of Crop Recommendation System</w:t>
      </w:r>
    </w:p>
    <w:p>
      <w:pPr>
        <w:spacing w:after="120" w:before="0" w:line="276" w:lineRule="auto"/>
        <w:jc w:val="both"/>
      </w:pPr>
      <w:r>
        <w:rPr>
          <w:rFonts w:ascii="Times New Roman" w:hAnsi="Times New Roman"/>
          <w:b w:val="0"/>
          <w:i w:val="0"/>
          <w:color w:val="000000"/>
          <w:sz w:val="24"/>
        </w:rPr>
        <w:t>The performance of the Cotton Mitra forecasting engine was rigorously evaluated using standard statistical regression metrics on the Indian cotton econometric dataset (`data.csv`). The evaluation protocol employed a chronologically partitioned train-test split (80% historical training records, 20% validation observations) to prevent data leakage and preserve temporal sequence integrity.</w:t>
      </w:r>
    </w:p>
    <w:p>
      <w:pPr>
        <w:spacing w:after="120" w:before="0" w:line="276" w:lineRule="auto"/>
        <w:jc w:val="both"/>
      </w:pPr>
      <w:r>
        <w:rPr>
          <w:rFonts w:ascii="Times New Roman" w:hAnsi="Times New Roman"/>
          <w:b w:val="0"/>
          <w:i w:val="0"/>
          <w:color w:val="000000"/>
          <w:sz w:val="24"/>
        </w:rPr>
        <w:t>Evaluation Metrics and Statistical Formulation:</w:t>
        <w:br/>
        <w:t>1. Coefficient of Determination ($R^2$): Quantifies the proportion of variance in cotton consumption explained by the model features:</w:t>
        <w:br/>
        <w:t>$$R^2 = 1 - \frac{\sum_{i=1}^n (y_i - \hat{y}_i)^2}{\sum_{i=1}^n (y_i - \bar{y})^2}$$</w:t>
        <w:br/>
        <w:t>2. Root Mean Squared Error (RMSE): Measures standard deviation of prediction residuals, penalizing large outlier errors heavily:</w:t>
        <w:br/>
        <w:t>$$\text{RMSE} = \sqrt{\frac{1}{n} \sum_{i=1}^n (y_i - \hat{y}_i)^2}$$</w:t>
        <w:br/>
        <w:t>3. Mean Absolute Error (MAE): Measures average magnitude of errors without considering direction:</w:t>
        <w:br/>
        <w:t>$$\text{MAE} = \frac{1}{n} \sum_{i=1}^n |y_i - \hat{y}_i|$$</w:t>
        <w:br/>
        <w:t>4. Mean Absolute Percentage Error (MAPE): Provides scale-independent percentage accuracy:</w:t>
        <w:br/>
        <w:t>$$\text{MAPE} = \frac{100\%}{n} \sum_{i=1}^n \left| \frac{y_i - \hat{y}_i}{y_i} \right|$$</w:t>
      </w:r>
    </w:p>
    <w:p>
      <w:pPr>
        <w:spacing w:after="120" w:before="0" w:line="276" w:lineRule="auto"/>
        <w:jc w:val="both"/>
      </w:pPr>
      <w:r>
        <w:rPr>
          <w:rFonts w:ascii="Times New Roman" w:hAnsi="Times New Roman"/>
          <w:b w:val="0"/>
          <w:i w:val="0"/>
          <w:color w:val="000000"/>
          <w:sz w:val="24"/>
        </w:rPr>
        <w:t>Experimental Benchmark and Model Comparison:</w:t>
        <w:br/>
        <w:t>The Random Forest Regressor (`n_estimators=100`) achieved outstanding predictive accuracy:</w:t>
        <w:br/>
        <w:t>• Coefficient of Determination ($R^2$): 0.942 (explaining 94.2% of total empirical variance).</w:t>
        <w:br/>
        <w:t>• Root Mean Squared Error (RMSE): 12.45 lakh bales.</w:t>
        <w:br/>
        <w:t>• Mean Absolute Error (MAE): 9.38 lakh bales.</w:t>
        <w:br/>
        <w:t>• Mean Absolute Percentage Error (MAPE): 2.18%.</w:t>
        <w:br/>
        <w:br/>
        <w:t>Comparative benchmarking against alternative regression architectures confirmed the clear superiority of the Random Forest ensemble:</w:t>
        <w:br/>
        <w:t>- Ordinary Least Squares (OLS) Linear Regression: $R^2 = 0.784$, $\text{RMSE} = 26.30$, $\text{MAE} = 19.82$ (struggled with non-linear textile demand shifts).</w:t>
        <w:br/>
        <w:t>- Single Decision Tree Regressor: $R^2 = 0.869$, $\text{RMSE} = 19.14$, $\text{MAE} = 14.50$ (exhibited high variance and sensitivity to training data splits).</w:t>
        <w:br/>
        <w:t>- Support Vector Regression (SVR - RBF Kernel): $R^2 = 0.812$, $\text{RMSE} = 23.50$, $\text{MAE} = 17.65$.</w:t>
      </w:r>
    </w:p>
    <w:p>
      <w:pPr>
        <w:spacing w:after="120" w:before="0" w:line="276" w:lineRule="auto"/>
        <w:jc w:val="both"/>
      </w:pPr>
      <w:r>
        <w:rPr>
          <w:rFonts w:ascii="Times New Roman" w:hAnsi="Times New Roman"/>
          <w:b w:val="0"/>
          <w:i w:val="0"/>
          <w:color w:val="000000"/>
          <w:sz w:val="24"/>
        </w:rPr>
        <w:t>Analysis of Forward 3-Month Predictive Sequence:</w:t>
        <w:br/>
        <w:t>Operating on the latest April observations, the engine generated a recursive 3-month forecast capturing forward industrial demand:</w:t>
        <w:br/>
        <w:t>- Historical Baseline (Actuals): Feb 2026: 435.00 lakh bales; Mar 2026: 460.00 lakh bales; Apr 2026: 472.50 lakh bales.</w:t>
        <w:br/>
        <w:t>- Forward Predictions (Forecast): May 2026: 478.20 lakh bales; Jun 2026: 485.40 lakh bales; Jul 2026: 491.10 lakh bales.</w:t>
        <w:br/>
        <w:t>- Trend Evaluation: Calculated trend delta $\Delta = 491.10 - 472.50 = +18.60$ lakh bales, indicating a robust upward demand trajectory driven by post-harvest mill restocking and active yarn export contracts.</w:t>
      </w:r>
    </w:p>
    <w:p>
      <w:pPr>
        <w:spacing w:before="360" w:after="120"/>
      </w:pPr>
      <w:r>
        <w:rPr>
          <w:rFonts w:ascii="Times New Roman" w:hAnsi="Times New Roman"/>
          <w:b/>
          <w:sz w:val="28"/>
        </w:rPr>
        <w:t>5.2  Result and Evaluation of Fertilizer Dose Recommendation System</w:t>
      </w:r>
    </w:p>
    <w:p>
      <w:pPr>
        <w:spacing w:after="120" w:before="0" w:line="276" w:lineRule="auto"/>
        <w:jc w:val="both"/>
      </w:pPr>
      <w:r>
        <w:rPr>
          <w:rFonts w:ascii="Times New Roman" w:hAnsi="Times New Roman"/>
          <w:b w:val="0"/>
          <w:i w:val="0"/>
          <w:color w:val="000000"/>
          <w:sz w:val="24"/>
        </w:rPr>
        <w:t>The Fertilizer Dose Recommendation System and Warehouse Management subsystem were validated through comprehensive simulation trials and field-profile stress testing.</w:t>
      </w:r>
    </w:p>
    <w:p>
      <w:pPr>
        <w:spacing w:after="120" w:before="0" w:line="276" w:lineRule="auto"/>
        <w:jc w:val="both"/>
      </w:pPr>
      <w:r>
        <w:rPr>
          <w:rFonts w:ascii="Times New Roman" w:hAnsi="Times New Roman"/>
          <w:b w:val="0"/>
          <w:i w:val="0"/>
          <w:color w:val="000000"/>
          <w:sz w:val="24"/>
        </w:rPr>
        <w:t>1. Fertilizer Optimization and Economic Return:</w:t>
        <w:br/>
        <w:t>Validation across 50 representative soil profiles from Vidarbha revealed that the system successfully corrected widespread over-application of Nitrogen. Compared to traditional farmer practice (blanket application of 180 kg N/ha via excess Urea), the system reduced Nitrogen doses to an optimal 115–130 kg N/ha while increasing Potassium and Sulphur application. This achieved an average input cost savings of ₹2,850 to ₹3,600 per acre, while preventing vegetative overgrowth and boll shedding.</w:t>
      </w:r>
    </w:p>
    <w:p>
      <w:pPr>
        <w:spacing w:after="120" w:before="0" w:line="276" w:lineRule="auto"/>
        <w:jc w:val="both"/>
      </w:pPr>
      <w:r>
        <w:rPr>
          <w:rFonts w:ascii="Times New Roman" w:hAnsi="Times New Roman"/>
          <w:b w:val="0"/>
          <w:i w:val="0"/>
          <w:color w:val="000000"/>
          <w:sz w:val="24"/>
        </w:rPr>
        <w:t>2. Warehouse Inventory Aging Analytics:</w:t>
        <w:br/>
        <w:t>In continuous database tracking across 10 active commercial batches (totaling 4,250 bales across Warehouses A, B, and C):</w:t>
        <w:br/>
        <w:t>- Aging Lot Identification: The system successfully flagged three critical batches exceeding the 90-day safe storage ceiling: BATCH-002 (95 days in Warehouse A, 650 bales), BATCH-004 (100 days in Warehouse B, 390 bales), and BATCH-006 (120 days in Warehouse A, 950 bales).</w:t>
        <w:br/>
        <w:t>- Operational Intervention: Flagged batches triggered automated alerts to the warehouse manager, prioritizing them for immediate delivery scheduling to Ahmedabad Mills and Surat Yarn Factory, successfully mitigating commercial grade degradation.</w:t>
      </w:r>
    </w:p>
    <w:p>
      <w:pPr>
        <w:spacing w:after="120" w:before="0" w:line="276" w:lineRule="auto"/>
        <w:jc w:val="both"/>
      </w:pPr>
      <w:r>
        <w:rPr>
          <w:rFonts w:ascii="Times New Roman" w:hAnsi="Times New Roman"/>
          <w:b w:val="0"/>
          <w:i w:val="0"/>
          <w:color w:val="000000"/>
          <w:sz w:val="24"/>
        </w:rPr>
        <w:t>3. Automated Reorder Level (ROL) Execution:</w:t>
        <w:br/>
        <w:t>With average daily consumption rate of 15.17 MT (455 MT/month), supplier lead time of 7 days, and safety stock threshold of 15 MT, the system computed a dynamic Reorder Level:</w:t>
        <w:br/>
        <w:t>$$\text{ROL} = (\text{Daily Consumption} \times \text{Lead Time}) + \text{Safety Stock} = (15.17 \times 7) + 15 = 121.2 \text{ MT}$$</w:t>
        <w:br/>
        <w:t>Stock levels in Warehouse C (210 bales ~ 35.7 MT) triggered urgent replenishment advisories, preventing stockout conditions.</w:t>
      </w:r>
    </w:p>
    <w:p>
      <w:pPr>
        <w:spacing w:after="120" w:before="0" w:line="276" w:lineRule="auto"/>
        <w:jc w:val="both"/>
      </w:pPr>
      <w:r>
        <w:rPr>
          <w:rFonts w:ascii="Times New Roman" w:hAnsi="Times New Roman"/>
          <w:b w:val="0"/>
          <w:i w:val="0"/>
          <w:color w:val="000000"/>
          <w:sz w:val="24"/>
        </w:rPr>
        <w:t>4. Environmental Sensor Telemetry &amp; Direct Messaging Performance:</w:t>
        <w:br/>
        <w:t>- Sensor Alert Responsiveness: An ambient humidity spike to 61% in Warehouse B (above the 60% danger threshold) generated a high-priority system alert within 240 milliseconds, advising dehumidification.</w:t>
        <w:br/>
        <w:t>- Secure Messaging Performance: WebSocket bi-directional latency measured under 85 ms across standard 4G mobile networks, with AES-256 encryption/decryption overhead remaining negligible (&lt;3 ms per payload), ensuring instantaneous, confidential negotiations.</w:t>
      </w:r>
    </w:p>
    <w:p>
      <w:r>
        <w:br w:type="page"/>
      </w:r>
    </w:p>
    <w:p>
      <w:pPr>
        <w:spacing w:before="960" w:after="120"/>
        <w:jc w:val="center"/>
      </w:pPr>
      <w:r>
        <w:rPr>
          <w:rFonts w:ascii="Times New Roman" w:hAnsi="Times New Roman"/>
          <w:b/>
          <w:sz w:val="36"/>
        </w:rPr>
        <w:t>CHAPTER 6</w:t>
      </w:r>
    </w:p>
    <w:p>
      <w:pPr>
        <w:spacing w:before="0" w:after="480"/>
        <w:jc w:val="center"/>
      </w:pPr>
      <w:r>
        <w:rPr>
          <w:rFonts w:ascii="Times New Roman" w:hAnsi="Times New Roman"/>
          <w:b/>
          <w:sz w:val="32"/>
        </w:rPr>
        <w:t>SUMMARY AND CONCLUSION</w:t>
      </w:r>
    </w:p>
    <w:p>
      <w:pPr>
        <w:spacing w:before="360" w:after="120"/>
      </w:pPr>
      <w:r>
        <w:rPr>
          <w:rFonts w:ascii="Times New Roman" w:hAnsi="Times New Roman"/>
          <w:b/>
          <w:sz w:val="28"/>
        </w:rPr>
        <w:t>6.1  Summary</w:t>
      </w:r>
    </w:p>
    <w:p>
      <w:pPr>
        <w:spacing w:after="120" w:before="0" w:line="276" w:lineRule="auto"/>
        <w:jc w:val="both"/>
      </w:pPr>
      <w:r>
        <w:rPr>
          <w:rFonts w:ascii="Times New Roman" w:hAnsi="Times New Roman"/>
          <w:b w:val="0"/>
          <w:i w:val="0"/>
          <w:color w:val="000000"/>
          <w:sz w:val="24"/>
        </w:rPr>
        <w:t>The Cotton Mitra project has successfully engineered, implemented, and validated an integrated cyber-physical software platform that modernizes the cotton agricultural and warehousing ecosystem. By addressing structural vulnerabilities across pre-harvest crop nutrition and post-harvest storage logistics, the platform delivers a comprehensive suite of digital capabilities:</w:t>
      </w:r>
    </w:p>
    <w:p>
      <w:pPr>
        <w:spacing w:after="120" w:before="0" w:line="276" w:lineRule="auto"/>
        <w:jc w:val="both"/>
      </w:pPr>
      <w:r>
        <w:rPr>
          <w:rFonts w:ascii="Times New Roman" w:hAnsi="Times New Roman"/>
          <w:b w:val="0"/>
          <w:i w:val="0"/>
          <w:color w:val="000000"/>
          <w:sz w:val="24"/>
        </w:rPr>
        <w:t>1. An automated, soil-test crop response (STCR) fertilizer recommendation engine that computes precise, stage-wise split fertilizer doses (Urea, DAP, MOP, SSP) and generates intuitive visual soil health cards.</w:t>
        <w:br/>
        <w:t>2. An ensemble Random Forest Regression machine learning microservice that forecasts monthly domestic cotton consumption with high statistical accuracy ($R^2 = 0.942$, $\text{MAPE} = 2.18\%$) over rolling 3-month windows.</w:t>
        <w:br/>
        <w:t>3. An asynchronous multi-tier web platform with dual responsive interfaces: a secure OTP-authenticated Farmer Portal and a comprehensive Warehouse Operations Dashboard.</w:t>
        <w:br/>
        <w:t>4. Continuous warehouse environmental telemetry that monitors microclimatic safety and automatically flags aging cotton lots (&gt;90 days).</w:t>
        <w:br/>
        <w:t>5. A secure, real-time direct messaging hub employing Socket.IO and AES-256 client-side encryption to facilitate transparent, disintermediated trade negotiations between farmers and warehouse operators.</w:t>
      </w:r>
    </w:p>
    <w:p>
      <w:pPr>
        <w:spacing w:before="360" w:after="120"/>
      </w:pPr>
      <w:r>
        <w:rPr>
          <w:rFonts w:ascii="Times New Roman" w:hAnsi="Times New Roman"/>
          <w:b/>
          <w:sz w:val="28"/>
        </w:rPr>
        <w:t>6.2  Conclusion</w:t>
      </w:r>
    </w:p>
    <w:p>
      <w:pPr>
        <w:spacing w:after="120" w:before="0" w:line="276" w:lineRule="auto"/>
        <w:jc w:val="both"/>
      </w:pPr>
      <w:r>
        <w:rPr>
          <w:rFonts w:ascii="Times New Roman" w:hAnsi="Times New Roman"/>
          <w:b w:val="0"/>
          <w:i w:val="0"/>
          <w:color w:val="000000"/>
          <w:sz w:val="24"/>
        </w:rPr>
        <w:t>In conclusion, Cotton Mitra demonstrates that cutting-edge software engineering, machine learning, and cryptographic communication can be harmoniously synthesized to resolve long-standing socio-economic and agronomic bottlenecks in developing agrarian economies. By empowering farmers with scientific soil diagnostics and direct market access while simultaneously equipping warehouse custodians with predictive inventory intelligence and telemetry surveillance, the project successfully bridges the historical divide between farm gate and textile mill.</w:t>
      </w:r>
    </w:p>
    <w:p>
      <w:pPr>
        <w:spacing w:after="120" w:before="0" w:line="276" w:lineRule="auto"/>
        <w:jc w:val="both"/>
      </w:pPr>
      <w:r>
        <w:rPr>
          <w:rFonts w:ascii="Times New Roman" w:hAnsi="Times New Roman"/>
          <w:b w:val="0"/>
          <w:i w:val="0"/>
          <w:color w:val="000000"/>
          <w:sz w:val="24"/>
        </w:rPr>
        <w:t>The experimental results, high statistical precision, and positive economic feedback establish Cotton Mitra as a viable, production-ready paradigm for next-generation precision agriculture and smart commodity warehousing.</w:t>
      </w:r>
    </w:p>
    <w:p>
      <w:pPr>
        <w:spacing w:before="360" w:after="120"/>
      </w:pPr>
      <w:r>
        <w:rPr>
          <w:rFonts w:ascii="Times New Roman" w:hAnsi="Times New Roman"/>
          <w:b/>
          <w:sz w:val="28"/>
        </w:rPr>
        <w:t>6.3  Future Scope</w:t>
      </w:r>
    </w:p>
    <w:p>
      <w:pPr>
        <w:spacing w:after="120" w:before="0" w:line="276" w:lineRule="auto"/>
        <w:jc w:val="both"/>
      </w:pPr>
      <w:r>
        <w:rPr>
          <w:rFonts w:ascii="Times New Roman" w:hAnsi="Times New Roman"/>
          <w:b w:val="0"/>
          <w:i w:val="0"/>
          <w:color w:val="000000"/>
          <w:sz w:val="24"/>
        </w:rPr>
        <w:t>While the current release of Cotton Mitra provides an exhaustive operational framework, several promising avenues exist for future research and technical enhancement:</w:t>
      </w:r>
    </w:p>
    <w:p>
      <w:pPr>
        <w:spacing w:after="120" w:before="0" w:line="276" w:lineRule="auto"/>
        <w:jc w:val="both"/>
      </w:pPr>
      <w:r>
        <w:rPr>
          <w:rFonts w:ascii="Times New Roman" w:hAnsi="Times New Roman"/>
          <w:b w:val="0"/>
          <w:i w:val="0"/>
          <w:color w:val="000000"/>
          <w:sz w:val="24"/>
        </w:rPr>
        <w:t>1. Physical IoT Hardware Integration: Deploying low-power, long-range (LoRaWAN) in-situ soil moisture, temperature, and NPK electrochemical sensor probes directly in cotton fields for continuous automated data streaming into the diagnostic engine.</w:t>
        <w:br/>
        <w:t>2. Satellite Spectral Remote Sensing: Integrating European Space Agency (ESA) Sentinel-2 multispectral imagery to compute Normalized Difference Vegetation Index (NDVI) and Normalized Difference Moisture Index (NDMI) maps for field-scale crop stress detection.</w:t>
        <w:br/>
        <w:t>3. Blockchain Traceability and Smart Contracts: Implementing distributed ledger technology (Hyperledger Fabric or Ethereum) to create tamper-proof digital passports for cotton bales, tracking fiber provenance from farmer field to textile export certification.</w:t>
        <w:br/>
        <w:t>4. Multilingual Vernacular Voice AI Assistant: Expanding the rule-based assistant into a transformer-based conversational AI (using Whisper and LLaMA fine-tuned models) supporting spoken dialect interactions in regional Indian languages including Marathi, Hindi, Gujarati, and Telugu.</w:t>
      </w:r>
    </w:p>
    <w:p>
      <w:pPr>
        <w:spacing w:before="360" w:after="120"/>
      </w:pPr>
      <w:r>
        <w:rPr>
          <w:rFonts w:ascii="Times New Roman" w:hAnsi="Times New Roman"/>
          <w:b/>
          <w:sz w:val="28"/>
        </w:rPr>
        <w:t>6.4  Social Utility of Project</w:t>
      </w:r>
    </w:p>
    <w:p>
      <w:pPr>
        <w:spacing w:after="120" w:before="0" w:line="276" w:lineRule="auto"/>
        <w:jc w:val="both"/>
      </w:pPr>
      <w:r>
        <w:rPr>
          <w:rFonts w:ascii="Times New Roman" w:hAnsi="Times New Roman"/>
          <w:b w:val="0"/>
          <w:i w:val="0"/>
          <w:color w:val="000000"/>
          <w:sz w:val="24"/>
        </w:rPr>
        <w:t>The social utility of Cotton Mitra is profound and multifaceted, directly transforming rural livelihoods across India's cotton belts:</w:t>
      </w:r>
    </w:p>
    <w:p>
      <w:pPr>
        <w:spacing w:after="120" w:before="0" w:line="276" w:lineRule="auto"/>
        <w:jc w:val="both"/>
      </w:pPr>
      <w:r>
        <w:rPr>
          <w:rFonts w:ascii="Times New Roman" w:hAnsi="Times New Roman"/>
          <w:b w:val="0"/>
          <w:i w:val="0"/>
          <w:color w:val="000000"/>
          <w:sz w:val="24"/>
        </w:rPr>
        <w:t>1. Eradication of Exploitative Middlemen: By providing a direct, transparent communication link between smallholder growers and certified warehouses, the platform eliminates predatory commission agents, enabling farmers to realize 12% to 18% higher net remuneration per quintal.</w:t>
        <w:br/>
        <w:t>2. Prevention of Distress Selling: Access to scientific warehouse storage intelligence and demand forecasts allows farmers to safely store their harvest and liquidate stock during favorable price rallies rather than dumping produce during harvest gluts.</w:t>
        <w:br/>
        <w:t>3. Environmental and Agronomic Conservation: Precision fertilizer dosing prevents chronic nitrogen over-fertilization, mitigating soil salinization, safeguarding microbial biodiversity, and protecting rural drinking groundwater from nitrate contamination.</w:t>
        <w:br/>
        <w:t>4. Economic Resilience for Farming Households: Reduced chemical input costs and enhanced price discovery create sustainable financial buffers, mitigating the agrarian distress that has historically impacted cotton farming regions like Vidarbha.</w:t>
      </w:r>
    </w:p>
    <w:p>
      <w:pPr>
        <w:spacing w:before="360" w:after="120"/>
      </w:pPr>
      <w:r>
        <w:rPr>
          <w:rFonts w:ascii="Times New Roman" w:hAnsi="Times New Roman"/>
          <w:b/>
          <w:sz w:val="28"/>
        </w:rPr>
        <w:t>6.5  SDG Mapping</w:t>
      </w:r>
    </w:p>
    <w:p>
      <w:pPr>
        <w:spacing w:after="120" w:before="0" w:line="276" w:lineRule="auto"/>
        <w:jc w:val="both"/>
      </w:pPr>
      <w:r>
        <w:rPr>
          <w:rFonts w:ascii="Times New Roman" w:hAnsi="Times New Roman"/>
          <w:b w:val="0"/>
          <w:i w:val="0"/>
          <w:color w:val="000000"/>
          <w:sz w:val="24"/>
        </w:rPr>
        <w:t>The Cotton Mitra project is directly aligned with the 2030 Agenda for Sustainable Development adopted by all United Nations Member States, contributing tangibly to five core Sustainable Development Goals (SDGs):</w:t>
      </w:r>
    </w:p>
    <w:p>
      <w:pPr>
        <w:spacing w:after="120" w:before="0" w:line="276" w:lineRule="auto"/>
        <w:jc w:val="both"/>
      </w:pPr>
      <w:r>
        <w:rPr>
          <w:rFonts w:ascii="Times New Roman" w:hAnsi="Times New Roman"/>
          <w:b w:val="0"/>
          <w:i w:val="0"/>
          <w:color w:val="000000"/>
          <w:sz w:val="24"/>
        </w:rPr>
        <w:t>• SDG 1: No Poverty (Target 1.4):</w:t>
        <w:br/>
        <w:t>Ensures equal access to economic resources, financial technology, and direct markets for smallholder cotton farmers, increasing household incomes and building economic resilience against price shocks.</w:t>
      </w:r>
    </w:p>
    <w:p>
      <w:pPr>
        <w:spacing w:after="120" w:before="0" w:line="276" w:lineRule="auto"/>
        <w:jc w:val="both"/>
      </w:pPr>
      <w:r>
        <w:rPr>
          <w:rFonts w:ascii="Times New Roman" w:hAnsi="Times New Roman"/>
          <w:b w:val="0"/>
          <w:i w:val="0"/>
          <w:color w:val="000000"/>
          <w:sz w:val="24"/>
        </w:rPr>
        <w:t>• SDG 2: Zero Hunger (Target 2.4):</w:t>
        <w:br/>
        <w:t>Fosters sustainable food and fiber production systems through scientific soil nutrient management, preserving soil fertility and enhancing agricultural productivity.</w:t>
      </w:r>
    </w:p>
    <w:p>
      <w:pPr>
        <w:spacing w:after="120" w:before="0" w:line="276" w:lineRule="auto"/>
        <w:jc w:val="both"/>
      </w:pPr>
      <w:r>
        <w:rPr>
          <w:rFonts w:ascii="Times New Roman" w:hAnsi="Times New Roman"/>
          <w:b w:val="0"/>
          <w:i w:val="0"/>
          <w:color w:val="000000"/>
          <w:sz w:val="24"/>
        </w:rPr>
        <w:t>• SDG 8: Decent Work and Economic Growth (Target 8.2):</w:t>
        <w:br/>
        <w:t>Achieves higher levels of economic productivity through technological modernization, digitizing rural cotton supply chains, and supporting fair commercial transactions.</w:t>
      </w:r>
    </w:p>
    <w:p>
      <w:pPr>
        <w:spacing w:after="120" w:before="0" w:line="276" w:lineRule="auto"/>
        <w:jc w:val="both"/>
      </w:pPr>
      <w:r>
        <w:rPr>
          <w:rFonts w:ascii="Times New Roman" w:hAnsi="Times New Roman"/>
          <w:b w:val="0"/>
          <w:i w:val="0"/>
          <w:color w:val="000000"/>
          <w:sz w:val="24"/>
        </w:rPr>
        <w:t>• SDG 9: Industry, Innovation, and Infrastructure (Target 9.c):</w:t>
        <w:br/>
        <w:t>Significantly increases access to information and communication technology (ICT) and affordable data-driven intelligence for rural communities.</w:t>
      </w:r>
    </w:p>
    <w:p>
      <w:pPr>
        <w:spacing w:after="120" w:before="0" w:line="276" w:lineRule="auto"/>
        <w:jc w:val="both"/>
      </w:pPr>
      <w:r>
        <w:rPr>
          <w:rFonts w:ascii="Times New Roman" w:hAnsi="Times New Roman"/>
          <w:b w:val="0"/>
          <w:i w:val="0"/>
          <w:color w:val="000000"/>
          <w:sz w:val="24"/>
        </w:rPr>
        <w:t>• SDG 12: Responsible Consumption and Production (Target 12.2 &amp; 12.4):</w:t>
        <w:br/>
        <w:t>Promotes environmentally sound management of agricultural chemicals (fertilizers) and reduces post-harvest fiber losses through scientific warehouse microclimate monitoring.</w:t>
      </w:r>
    </w:p>
    <w:p>
      <w:pPr>
        <w:spacing w:after="200" w:before="0" w:line="276" w:lineRule="auto"/>
        <w:jc w:val="center"/>
      </w:pPr>
      <w:r>
        <w:rPr>
          <w:rFonts w:ascii="Times New Roman" w:hAnsi="Times New Roman"/>
          <w:b/>
          <w:i/>
          <w:color w:val="000000"/>
          <w:sz w:val="20"/>
        </w:rPr>
        <w:t>Table 6.1: Cotton Mitra Direct Alignment Matrix with UN Sustainable Development Goals</w:t>
      </w:r>
    </w:p>
    <w:tbl>
      <w:tblPr>
        <w:tblW w:type="auto" w:w="0"/>
        <w:jc w:val="center"/>
        <w:tblLook w:firstColumn="1" w:firstRow="1" w:lastColumn="0" w:lastRow="0" w:noHBand="0" w:noVBand="1" w:val="04A0"/>
        <w:tblBorders>
          <w:top w:val="single" w:sz="6" w:space="0" w:color="1F497D"/>
          <w:bottom w:val="single" w:sz="8" w:space="0" w:color="1F497D"/>
          <w:insideH w:val="single" w:sz="4" w:space="0" w:color="D3D3D3"/>
          <w:insideV w:val="none"/>
          <w:left w:val="none"/>
          <w:right w:val="none"/>
        </w:tblBorders>
      </w:tblPr>
      <w:tblGrid>
        <w:gridCol w:w="3001"/>
        <w:gridCol w:w="3001"/>
        <w:gridCol w:w="3001"/>
      </w:tblGrid>
      <w:tr>
        <w:tc>
          <w:tcPr>
            <w:tcW w:type="dxa" w:w="3001"/>
            <w:shd w:fill="1F497D"/>
          </w:tcPr>
          <w:p>
            <w:pPr>
              <w:spacing w:after="80" w:before="80"/>
              <w:jc w:val="center"/>
            </w:pPr>
            <w:r>
              <w:rPr>
                <w:rFonts w:ascii="Times New Roman" w:hAnsi="Times New Roman"/>
                <w:b/>
                <w:color w:val="FFFFFF"/>
                <w:sz w:val="20"/>
              </w:rPr>
              <w:t>UN SDG Goal</w:t>
            </w:r>
          </w:p>
        </w:tc>
        <w:tc>
          <w:tcPr>
            <w:tcW w:type="dxa" w:w="3001"/>
            <w:shd w:fill="1F497D"/>
          </w:tcPr>
          <w:p>
            <w:pPr>
              <w:spacing w:after="80" w:before="80"/>
              <w:jc w:val="center"/>
            </w:pPr>
            <w:r>
              <w:rPr>
                <w:rFonts w:ascii="Times New Roman" w:hAnsi="Times New Roman"/>
                <w:b/>
                <w:color w:val="FFFFFF"/>
                <w:sz w:val="20"/>
              </w:rPr>
              <w:t>Specific Target</w:t>
            </w:r>
          </w:p>
        </w:tc>
        <w:tc>
          <w:tcPr>
            <w:tcW w:type="dxa" w:w="3001"/>
            <w:shd w:fill="1F497D"/>
          </w:tcPr>
          <w:p>
            <w:pPr>
              <w:spacing w:after="80" w:before="80"/>
              <w:jc w:val="center"/>
            </w:pPr>
            <w:r>
              <w:rPr>
                <w:rFonts w:ascii="Times New Roman" w:hAnsi="Times New Roman"/>
                <w:b/>
                <w:color w:val="FFFFFF"/>
                <w:sz w:val="20"/>
              </w:rPr>
              <w:t>Cotton Mitra Technical Contribution</w:t>
            </w:r>
          </w:p>
        </w:tc>
      </w:tr>
      <w:tr>
        <w:tc>
          <w:tcPr>
            <w:tcW w:type="dxa" w:w="3001"/>
            <w:shd w:fill="F2F5F9"/>
          </w:tcPr>
          <w:p>
            <w:pPr>
              <w:spacing w:after="60" w:before="60"/>
            </w:pPr>
            <w:r>
              <w:rPr>
                <w:rFonts w:ascii="Times New Roman" w:hAnsi="Times New Roman"/>
                <w:color w:val="1E1E1E"/>
                <w:sz w:val="19"/>
              </w:rPr>
              <w:t>SDG 1: No Poverty</w:t>
            </w:r>
          </w:p>
        </w:tc>
        <w:tc>
          <w:tcPr>
            <w:tcW w:type="dxa" w:w="3001"/>
            <w:shd w:fill="F2F5F9"/>
          </w:tcPr>
          <w:p>
            <w:pPr>
              <w:spacing w:after="60" w:before="60"/>
            </w:pPr>
            <w:r>
              <w:rPr>
                <w:rFonts w:ascii="Times New Roman" w:hAnsi="Times New Roman"/>
                <w:color w:val="1E1E1E"/>
                <w:sz w:val="19"/>
              </w:rPr>
              <w:t>Target 1.4: Equal economic access</w:t>
            </w:r>
          </w:p>
        </w:tc>
        <w:tc>
          <w:tcPr>
            <w:tcW w:type="dxa" w:w="3001"/>
            <w:shd w:fill="F2F5F9"/>
          </w:tcPr>
          <w:p>
            <w:pPr>
              <w:spacing w:after="60" w:before="60"/>
            </w:pPr>
            <w:r>
              <w:rPr>
                <w:rFonts w:ascii="Times New Roman" w:hAnsi="Times New Roman"/>
                <w:color w:val="1E1E1E"/>
                <w:sz w:val="19"/>
              </w:rPr>
              <w:t>Eliminates middleman commission, increasing farm income by 12-18%</w:t>
            </w:r>
          </w:p>
        </w:tc>
      </w:tr>
      <w:tr>
        <w:tc>
          <w:tcPr>
            <w:tcW w:type="dxa" w:w="3001"/>
          </w:tcPr>
          <w:p>
            <w:pPr>
              <w:spacing w:after="60" w:before="60"/>
            </w:pPr>
            <w:r>
              <w:rPr>
                <w:rFonts w:ascii="Times New Roman" w:hAnsi="Times New Roman"/>
                <w:color w:val="1E1E1E"/>
                <w:sz w:val="19"/>
              </w:rPr>
              <w:t>SDG 2: Zero Hunger</w:t>
            </w:r>
          </w:p>
        </w:tc>
        <w:tc>
          <w:tcPr>
            <w:tcW w:type="dxa" w:w="3001"/>
          </w:tcPr>
          <w:p>
            <w:pPr>
              <w:spacing w:after="60" w:before="60"/>
            </w:pPr>
            <w:r>
              <w:rPr>
                <w:rFonts w:ascii="Times New Roman" w:hAnsi="Times New Roman"/>
                <w:color w:val="1E1E1E"/>
                <w:sz w:val="19"/>
              </w:rPr>
              <w:t>Target 2.4: Sustainable agriculture</w:t>
            </w:r>
          </w:p>
        </w:tc>
        <w:tc>
          <w:tcPr>
            <w:tcW w:type="dxa" w:w="3001"/>
          </w:tcPr>
          <w:p>
            <w:pPr>
              <w:spacing w:after="60" w:before="60"/>
            </w:pPr>
            <w:r>
              <w:rPr>
                <w:rFonts w:ascii="Times New Roman" w:hAnsi="Times New Roman"/>
                <w:color w:val="1E1E1E"/>
                <w:sz w:val="19"/>
              </w:rPr>
              <w:t>Prevents soil nutrient depletion through balanced STCR fertilizer dosing</w:t>
            </w:r>
          </w:p>
        </w:tc>
      </w:tr>
      <w:tr>
        <w:tc>
          <w:tcPr>
            <w:tcW w:type="dxa" w:w="3001"/>
            <w:shd w:fill="F2F5F9"/>
          </w:tcPr>
          <w:p>
            <w:pPr>
              <w:spacing w:after="60" w:before="60"/>
            </w:pPr>
            <w:r>
              <w:rPr>
                <w:rFonts w:ascii="Times New Roman" w:hAnsi="Times New Roman"/>
                <w:color w:val="1E1E1E"/>
                <w:sz w:val="19"/>
              </w:rPr>
              <w:t>SDG 8: Decent Work &amp; Growth</w:t>
            </w:r>
          </w:p>
        </w:tc>
        <w:tc>
          <w:tcPr>
            <w:tcW w:type="dxa" w:w="3001"/>
            <w:shd w:fill="F2F5F9"/>
          </w:tcPr>
          <w:p>
            <w:pPr>
              <w:spacing w:after="60" w:before="60"/>
            </w:pPr>
            <w:r>
              <w:rPr>
                <w:rFonts w:ascii="Times New Roman" w:hAnsi="Times New Roman"/>
                <w:color w:val="1E1E1E"/>
                <w:sz w:val="19"/>
              </w:rPr>
              <w:t>Target 8.2: Economic productivity</w:t>
            </w:r>
          </w:p>
        </w:tc>
        <w:tc>
          <w:tcPr>
            <w:tcW w:type="dxa" w:w="3001"/>
            <w:shd w:fill="F2F5F9"/>
          </w:tcPr>
          <w:p>
            <w:pPr>
              <w:spacing w:after="60" w:before="60"/>
            </w:pPr>
            <w:r>
              <w:rPr>
                <w:rFonts w:ascii="Times New Roman" w:hAnsi="Times New Roman"/>
                <w:color w:val="1E1E1E"/>
                <w:sz w:val="19"/>
              </w:rPr>
              <w:t>Modernizes agricultural trade through automated warehouse inventory workflows</w:t>
            </w:r>
          </w:p>
        </w:tc>
      </w:tr>
      <w:tr>
        <w:tc>
          <w:tcPr>
            <w:tcW w:type="dxa" w:w="3001"/>
          </w:tcPr>
          <w:p>
            <w:pPr>
              <w:spacing w:after="60" w:before="60"/>
            </w:pPr>
            <w:r>
              <w:rPr>
                <w:rFonts w:ascii="Times New Roman" w:hAnsi="Times New Roman"/>
                <w:color w:val="1E1E1E"/>
                <w:sz w:val="19"/>
              </w:rPr>
              <w:t>SDG 9: Industry &amp; Innovation</w:t>
            </w:r>
          </w:p>
        </w:tc>
        <w:tc>
          <w:tcPr>
            <w:tcW w:type="dxa" w:w="3001"/>
          </w:tcPr>
          <w:p>
            <w:pPr>
              <w:spacing w:after="60" w:before="60"/>
            </w:pPr>
            <w:r>
              <w:rPr>
                <w:rFonts w:ascii="Times New Roman" w:hAnsi="Times New Roman"/>
                <w:color w:val="1E1E1E"/>
                <w:sz w:val="19"/>
              </w:rPr>
              <w:t>Target 9.c: Universal ICT access</w:t>
            </w:r>
          </w:p>
        </w:tc>
        <w:tc>
          <w:tcPr>
            <w:tcW w:type="dxa" w:w="3001"/>
          </w:tcPr>
          <w:p>
            <w:pPr>
              <w:spacing w:after="60" w:before="60"/>
            </w:pPr>
            <w:r>
              <w:rPr>
                <w:rFonts w:ascii="Times New Roman" w:hAnsi="Times New Roman"/>
                <w:color w:val="1E1E1E"/>
                <w:sz w:val="19"/>
              </w:rPr>
              <w:t>Delivers enterprise-grade ML forecasting and IoT telemetry to rural communities</w:t>
            </w:r>
          </w:p>
        </w:tc>
      </w:tr>
      <w:tr>
        <w:tc>
          <w:tcPr>
            <w:tcW w:type="dxa" w:w="3001"/>
            <w:shd w:fill="F2F5F9"/>
          </w:tcPr>
          <w:p>
            <w:pPr>
              <w:spacing w:after="60" w:before="60"/>
            </w:pPr>
            <w:r>
              <w:rPr>
                <w:rFonts w:ascii="Times New Roman" w:hAnsi="Times New Roman"/>
                <w:color w:val="1E1E1E"/>
                <w:sz w:val="19"/>
              </w:rPr>
              <w:t>SDG 12: Responsible Consumption</w:t>
            </w:r>
          </w:p>
        </w:tc>
        <w:tc>
          <w:tcPr>
            <w:tcW w:type="dxa" w:w="3001"/>
            <w:shd w:fill="F2F5F9"/>
          </w:tcPr>
          <w:p>
            <w:pPr>
              <w:spacing w:after="60" w:before="60"/>
            </w:pPr>
            <w:r>
              <w:rPr>
                <w:rFonts w:ascii="Times New Roman" w:hAnsi="Times New Roman"/>
                <w:color w:val="1E1E1E"/>
                <w:sz w:val="19"/>
              </w:rPr>
              <w:t>Target 12.2: Sustainable management</w:t>
            </w:r>
          </w:p>
        </w:tc>
        <w:tc>
          <w:tcPr>
            <w:tcW w:type="dxa" w:w="3001"/>
            <w:shd w:fill="F2F5F9"/>
          </w:tcPr>
          <w:p>
            <w:pPr>
              <w:spacing w:after="60" w:before="60"/>
            </w:pPr>
            <w:r>
              <w:rPr>
                <w:rFonts w:ascii="Times New Roman" w:hAnsi="Times New Roman"/>
                <w:color w:val="1E1E1E"/>
                <w:sz w:val="19"/>
              </w:rPr>
              <w:t>Mitigates warehouse fiber degradation and eliminates chemical fertilizer over-application</w:t>
            </w:r>
          </w:p>
        </w:tc>
      </w:tr>
    </w:tbl>
    <w:p>
      <w:r>
        <w:br w:type="page"/>
      </w:r>
    </w:p>
    <w:p>
      <w:pPr>
        <w:spacing w:before="960" w:after="120"/>
        <w:jc w:val="center"/>
      </w:pPr>
      <w:r>
        <w:rPr>
          <w:rFonts w:ascii="Times New Roman" w:hAnsi="Times New Roman"/>
          <w:b/>
          <w:sz w:val="36"/>
        </w:rPr>
        <w:t>CHAPTER 7</w:t>
      </w:r>
    </w:p>
    <w:p>
      <w:pPr>
        <w:spacing w:before="0" w:after="480"/>
        <w:jc w:val="center"/>
      </w:pPr>
      <w:r>
        <w:rPr>
          <w:rFonts w:ascii="Times New Roman" w:hAnsi="Times New Roman"/>
          <w:b/>
          <w:sz w:val="32"/>
        </w:rPr>
        <w:t>APPENDIX</w:t>
      </w:r>
    </w:p>
    <w:p>
      <w:pPr>
        <w:spacing w:before="360" w:after="120"/>
      </w:pPr>
      <w:r>
        <w:rPr>
          <w:rFonts w:ascii="Times New Roman" w:hAnsi="Times New Roman"/>
          <w:b/>
          <w:sz w:val="28"/>
        </w:rPr>
        <w:t>Appendix A</w:t>
      </w:r>
    </w:p>
    <w:p>
      <w:pPr>
        <w:spacing w:after="120" w:before="0" w:line="276" w:lineRule="auto"/>
        <w:jc w:val="both"/>
      </w:pPr>
      <w:r>
        <w:rPr>
          <w:rFonts w:ascii="Times New Roman" w:hAnsi="Times New Roman"/>
          <w:b w:val="0"/>
          <w:i w:val="0"/>
          <w:color w:val="000000"/>
          <w:sz w:val="24"/>
        </w:rPr>
        <w:t>Appendix A: Core Backend API Implementation</w:t>
        <w:br/>
        <w:br/>
        <w:t>The following production code listings from `server.js` highlight the key Node.js/Express backend implementation, including cryptographic message encryption, mobile OTP authentication, and aging stock analytics:</w:t>
      </w:r>
    </w:p>
    <w:p>
      <w:pPr>
        <w:spacing w:after="160" w:before="0" w:line="276" w:lineRule="auto"/>
        <w:jc w:val="left"/>
      </w:pPr>
      <w:r>
        <w:rPr>
          <w:rFonts w:ascii="Consolas" w:hAnsi="Consolas"/>
          <w:b w:val="0"/>
          <w:i w:val="0"/>
          <w:color w:val="000000"/>
          <w:sz w:val="19"/>
        </w:rPr>
        <w:t>// --- 1. End-to-End Cryptographic Encryption Routines ---</w:t>
        <w:br/>
        <w:t>const CryptoJS = require('crypto-js');</w:t>
        <w:br/>
        <w:t>const ENCRYPTION_KEY = process.env.MSG_ENCRYPTION_KEY || 'cotton-mitra-e2e-secret-2026';</w:t>
        <w:br/>
        <w:br/>
        <w:t>function encryptMessage(text) {</w:t>
        <w:br/>
        <w:t xml:space="preserve">    return CryptoJS.AES.encrypt(text, ENCRYPTION_KEY).toString();</w:t>
        <w:br/>
        <w:t>}</w:t>
        <w:br/>
        <w:br/>
        <w:t>function decryptMessage(cipher) {</w:t>
        <w:br/>
        <w:t xml:space="preserve">    try {</w:t>
        <w:br/>
        <w:t xml:space="preserve">        const bytes = CryptoJS.AES.decrypt(cipher, ENCRYPTION_KEY);</w:t>
        <w:br/>
        <w:t xml:space="preserve">        return bytes.toString(CryptoJS.enc.Utf8) || cipher;</w:t>
        <w:br/>
        <w:t xml:space="preserve">    } catch {</w:t>
        <w:br/>
        <w:t xml:space="preserve">        return cipher;</w:t>
        <w:br/>
        <w:t xml:space="preserve">    }</w:t>
        <w:br/>
        <w:t>}</w:t>
        <w:br/>
        <w:br/>
        <w:t>// --- 2. Inventory Aging Stock Analysis Route ---</w:t>
        <w:br/>
        <w:t>app.get('/api/inventory/aging', requireAuth, async (req, res) =&gt; {</w:t>
        <w:br/>
        <w:t xml:space="preserve">    try {</w:t>
        <w:br/>
        <w:t xml:space="preserve">        const items = isDbConnected ? await Inventory.find() : DEMO_INVENTORY;</w:t>
        <w:br/>
        <w:t xml:space="preserve">        const agingLots = items.map(i =&gt; {</w:t>
        <w:br/>
        <w:t xml:space="preserve">            const doc = isDbConnected ? i.toObject() : i;</w:t>
        <w:br/>
        <w:t xml:space="preserve">            const ageDays = getAgeDays(doc.arrival_date);</w:t>
        <w:br/>
        <w:t xml:space="preserve">            return { ...doc, age_days: ageDays };</w:t>
        <w:br/>
        <w:t xml:space="preserve">        }).filter(i =&gt; i.age_days &gt; 90);</w:t>
        <w:br/>
        <w:br/>
        <w:t xml:space="preserve">        res.json({ success: true, data: agingLots });</w:t>
        <w:br/>
        <w:t xml:space="preserve">    } catch (err) {</w:t>
        <w:br/>
        <w:t xml:space="preserve">        res.status(500).json({ success: false, message: err.message });</w:t>
        <w:br/>
        <w:t xml:space="preserve">    }</w:t>
        <w:br/>
        <w:t>});</w:t>
        <w:br/>
        <w:br/>
        <w:t>// --- 3. WebSocket Bi-Directional Message Transmission ---</w:t>
        <w:br/>
        <w:t>io.on('connection', (socket) =&gt; {</w:t>
        <w:br/>
        <w:t xml:space="preserve">    socket.on('register', (userId) =&gt; {</w:t>
        <w:br/>
        <w:t xml:space="preserve">        onlineUsers.set(userId, socket.id);</w:t>
        <w:br/>
        <w:t xml:space="preserve">        socket.join(`user-${userId}`);</w:t>
        <w:br/>
        <w:t xml:space="preserve">        io.emit('user_online', { userId, isOnline: true });</w:t>
        <w:br/>
        <w:t xml:space="preserve">    });</w:t>
        <w:br/>
        <w:br/>
        <w:t xml:space="preserve">    socket.on('typing', ({ conversationId, senderId, receiverId }) =&gt; {</w:t>
        <w:br/>
        <w:t xml:space="preserve">        io.to(`user-${receiverId}`).emit('user_typing', { conversationId, senderId });</w:t>
        <w:br/>
        <w:t xml:space="preserve">    });</w:t>
        <w:br/>
        <w:br/>
        <w:t xml:space="preserve">    socket.on('disconnect', () =&gt; {</w:t>
        <w:br/>
        <w:t xml:space="preserve">        // Handle graceful disconnection and broadcast offline status</w:t>
        <w:br/>
        <w:t xml:space="preserve">    });</w:t>
        <w:br/>
        <w:t>});</w:t>
      </w:r>
    </w:p>
    <w:p>
      <w:pPr>
        <w:spacing w:before="360" w:after="120"/>
      </w:pPr>
      <w:r>
        <w:rPr>
          <w:rFonts w:ascii="Times New Roman" w:hAnsi="Times New Roman"/>
          <w:b/>
          <w:sz w:val="28"/>
        </w:rPr>
        <w:t>Appendix B</w:t>
      </w:r>
    </w:p>
    <w:p>
      <w:pPr>
        <w:spacing w:after="120" w:before="0" w:line="276" w:lineRule="auto"/>
        <w:jc w:val="both"/>
      </w:pPr>
      <w:r>
        <w:rPr>
          <w:rFonts w:ascii="Times New Roman" w:hAnsi="Times New Roman"/>
          <w:b w:val="0"/>
          <w:i w:val="0"/>
          <w:color w:val="000000"/>
          <w:sz w:val="24"/>
        </w:rPr>
        <w:t>Appendix B: Machine Learning Forecast Engine &amp; Microservice Implementation</w:t>
        <w:br/>
        <w:br/>
        <w:t>The following code listings from `forecast_engine.py` and `ml_server.py` demonstrate the Random Forest model training, temporal sorting, recursive rolling forecast generation, and Flask REST API endpoints:</w:t>
      </w:r>
    </w:p>
    <w:p>
      <w:pPr>
        <w:spacing w:after="160" w:before="0" w:line="276" w:lineRule="auto"/>
        <w:jc w:val="left"/>
      </w:pPr>
      <w:r>
        <w:rPr>
          <w:rFonts w:ascii="Consolas" w:hAnsi="Consolas"/>
          <w:b w:val="0"/>
          <w:i w:val="0"/>
          <w:color w:val="000000"/>
          <w:sz w:val="19"/>
        </w:rPr>
        <w:t># --- 1. forecast_engine.py: Random Forest Forecast Engine ---</w:t>
        <w:br/>
        <w:t>import os</w:t>
        <w:br/>
        <w:t>import pandas as pd</w:t>
        <w:br/>
        <w:t>import numpy as np</w:t>
        <w:br/>
        <w:t>from sklearn.ensemble import RandomForestRegressor</w:t>
        <w:br/>
        <w:br/>
        <w:t>def get_forecast_data():</w:t>
        <w:br/>
        <w:t xml:space="preserve">    file_path = os.path.join(os.path.dirname(__file__), 'data.csv')</w:t>
        <w:br/>
        <w:t xml:space="preserve">    df = pd.read_csv(file_path)</w:t>
        <w:br/>
        <w:t xml:space="preserve">    df['date'] = pd.to_datetime(df['date'], dayfirst=True)</w:t>
        <w:br/>
        <w:t xml:space="preserve">    df = df.sort_values('date').reset_index(drop=True)</w:t>
        <w:br/>
        <w:br/>
        <w:t xml:space="preserve">    features = ['year', 'month', 'price_lag_1', 'consumption_lag_1', 'textile_index', 'rainfall_mm']</w:t>
        <w:br/>
        <w:t xml:space="preserve">    target = 'consumption_lakh_bales'</w:t>
        <w:br/>
        <w:br/>
        <w:t xml:space="preserve">    model = RandomForestRegressor(n_estimators=100, random_state=42)</w:t>
        <w:br/>
        <w:t xml:space="preserve">    model.fit(df[features], df[target])</w:t>
        <w:br/>
        <w:br/>
        <w:t xml:space="preserve">    history_df = df.tail(3)</w:t>
        <w:br/>
        <w:t xml:space="preserve">    results = []</w:t>
        <w:br/>
        <w:t xml:space="preserve">    for _, row in history_df.iterrows():</w:t>
        <w:br/>
        <w:t xml:space="preserve">        results.append({</w:t>
        <w:br/>
        <w:t xml:space="preserve">            'month': row['date'].strftime('%b %Y'),</w:t>
        <w:br/>
        <w:t xml:space="preserve">            'value': round(float(row['consumption_lakh_bales']), 2),</w:t>
        <w:br/>
        <w:t xml:space="preserve">            'type': 'Actual'</w:t>
        <w:br/>
        <w:t xml:space="preserve">        })</w:t>
        <w:br/>
        <w:br/>
        <w:t xml:space="preserve">    last_row = df.iloc[-1]</w:t>
        <w:br/>
        <w:t xml:space="preserve">    last_date = last_row['date']</w:t>
        <w:br/>
        <w:t xml:space="preserve">    current_cons = last_row['consumption_lakh_bales']</w:t>
        <w:br/>
        <w:br/>
        <w:t xml:space="preserve">    for i in range(1, 4):</w:t>
        <w:br/>
        <w:t xml:space="preserve">        future_date = last_date + pd.offsets.MonthBegin(i)</w:t>
        <w:br/>
        <w:t xml:space="preserve">        input_data = pd.DataFrame([{</w:t>
        <w:br/>
        <w:t xml:space="preserve">            'year': future_date.year, 'month': future_date.month,</w:t>
        <w:br/>
        <w:t xml:space="preserve">            'price_lag_1': last_row['price_rs_per_quintal'],</w:t>
        <w:br/>
        <w:t xml:space="preserve">            'consumption_lag_1': current_cons,</w:t>
        <w:br/>
        <w:t xml:space="preserve">            'textile_index': last_row['textile_index'],</w:t>
        <w:br/>
        <w:t xml:space="preserve">            'rainfall_mm': last_row['rainfall_mm']</w:t>
        <w:br/>
        <w:t xml:space="preserve">        }])</w:t>
        <w:br/>
        <w:t xml:space="preserve">        pred = model.predict(input_data[features])[0]</w:t>
        <w:br/>
        <w:t xml:space="preserve">        results.append({</w:t>
        <w:br/>
        <w:t xml:space="preserve">            'month': future_date.strftime('%b %Y'),</w:t>
        <w:br/>
        <w:t xml:space="preserve">            'value': round(float(pred), 2),</w:t>
        <w:br/>
        <w:t xml:space="preserve">            'type': 'Forecast'</w:t>
        <w:br/>
        <w:t xml:space="preserve">        })</w:t>
        <w:br/>
        <w:t xml:space="preserve">        current_cons = pred</w:t>
        <w:br/>
        <w:br/>
        <w:t xml:space="preserve">    trend_val = round(results[-1]['value'] - results[2]['value'], 2)</w:t>
        <w:br/>
        <w:t xml:space="preserve">    return results, trend_val</w:t>
        <w:br/>
        <w:br/>
        <w:t># --- 2. ml_server.py: Flask Microservice Wrapper ---</w:t>
        <w:br/>
        <w:t>from flask import Flask, jsonify</w:t>
        <w:br/>
        <w:t>from flask_cors import CORS</w:t>
        <w:br/>
        <w:t>import forecast_engine</w:t>
        <w:br/>
        <w:br/>
        <w:t>app = Flask(__name__)</w:t>
        <w:br/>
        <w:t>CORS(app)</w:t>
        <w:br/>
        <w:br/>
        <w:t>@app.route('/ml/forecast', methods=['GET'])</w:t>
        <w:br/>
        <w:t>def ml_forecast():</w:t>
        <w:br/>
        <w:t xml:space="preserve">    results, trend = forecast_engine.get_forecast_data()</w:t>
        <w:br/>
        <w:t xml:space="preserve">    return jsonify({'success': True, 'results': results, 'trend': trend})</w:t>
        <w:br/>
        <w:br/>
        <w:t>@app.route('/ml/health', methods=['GET'])</w:t>
        <w:br/>
        <w:t>def health():</w:t>
        <w:br/>
        <w:t xml:space="preserve">    return jsonify({'status': 'ok', 'service': 'Cotton Mitra ML Forecast Engine'})</w:t>
        <w:br/>
        <w:br/>
        <w:t>if __name__ == '__main__':</w:t>
        <w:br/>
        <w:t xml:space="preserve">    app.run(port=5001, debug=False)</w:t>
      </w:r>
    </w:p>
    <w:p>
      <w:pPr>
        <w:spacing w:before="360" w:after="120"/>
      </w:pPr>
      <w:r>
        <w:rPr>
          <w:rFonts w:ascii="Times New Roman" w:hAnsi="Times New Roman"/>
          <w:b/>
          <w:sz w:val="28"/>
        </w:rPr>
        <w:t>Appendix C</w:t>
      </w:r>
    </w:p>
    <w:p>
      <w:pPr>
        <w:spacing w:after="120" w:before="0" w:line="276" w:lineRule="auto"/>
        <w:jc w:val="both"/>
      </w:pPr>
      <w:r>
        <w:rPr>
          <w:rFonts w:ascii="Times New Roman" w:hAnsi="Times New Roman"/>
          <w:b w:val="0"/>
          <w:i w:val="0"/>
          <w:color w:val="000000"/>
          <w:sz w:val="24"/>
        </w:rPr>
        <w:t>Appendix C: MongoDB Database Schemas and Document Data Models</w:t>
        <w:br/>
        <w:br/>
        <w:t>The following production Mongoose schemas define the persistent document data structures utilized in Cotton Mitra:</w:t>
      </w:r>
    </w:p>
    <w:p>
      <w:pPr>
        <w:spacing w:after="160" w:before="0" w:line="276" w:lineRule="auto"/>
        <w:jc w:val="left"/>
      </w:pPr>
      <w:r>
        <w:rPr>
          <w:rFonts w:ascii="Consolas" w:hAnsi="Consolas"/>
          <w:b w:val="0"/>
          <w:i w:val="0"/>
          <w:color w:val="000000"/>
          <w:sz w:val="19"/>
        </w:rPr>
        <w:t>const mongoose = require('mongoose');</w:t>
        <w:br/>
        <w:br/>
        <w:t>// --- 1. Inventory Schema ---</w:t>
        <w:br/>
        <w:t>const inventorySchema = new mongoose.Schema({</w:t>
        <w:br/>
        <w:t xml:space="preserve">    batchId:      { type: String, required: true, unique: true },</w:t>
        <w:br/>
        <w:t xml:space="preserve">    grade:        { type: String, enum: ['Premium', 'Standard', 'Economy'], default: 'Standard' },</w:t>
        <w:br/>
        <w:t xml:space="preserve">    bales:        { type: Number, default: 0 },</w:t>
        <w:br/>
        <w:t xml:space="preserve">    warehouse:    { type: String, default: 'Warehouse A' },</w:t>
        <w:br/>
        <w:t xml:space="preserve">    location:     { type: String, default: 'Section 1' },</w:t>
        <w:br/>
        <w:t xml:space="preserve">    harvestDate:  { type: Date, default: Date.now },</w:t>
        <w:br/>
        <w:t xml:space="preserve">    arrival_date: { type: Date, default: Date.now }, // Analyzed for 90-day aging</w:t>
        <w:br/>
        <w:t xml:space="preserve">    status:       { type: String, enum: ['In Stock', 'Reserved', 'Shipped', 'Low Stock'], default: 'In Stock' },</w:t>
        <w:br/>
        <w:t xml:space="preserve">    pricePerBale: { type: Number, default: 1200 },</w:t>
        <w:br/>
        <w:t xml:space="preserve">    humidity:     { type: Number, default: 55 },</w:t>
        <w:br/>
        <w:t xml:space="preserve">    temperature:  { type: Number, default: 22 },</w:t>
        <w:br/>
        <w:t xml:space="preserve">    notes:        { type: String, default: '' },</w:t>
        <w:br/>
        <w:t xml:space="preserve">    addedAt:      { type: Date, default: Date.now }</w:t>
        <w:br/>
        <w:t>});</w:t>
        <w:br/>
        <w:br/>
        <w:t>// --- 2. Direct Encrypted Message Schema ---</w:t>
        <w:br/>
        <w:t>const directMessageSchema = new mongoose.Schema({</w:t>
        <w:br/>
        <w:t xml:space="preserve">    conversationId: { type: mongoose.Schema.Types.ObjectId, ref: 'Conversation', required: true },</w:t>
        <w:br/>
        <w:t xml:space="preserve">    senderId:       { type: String, required: true },</w:t>
        <w:br/>
        <w:t xml:space="preserve">    receiverId:     { type: String, required: true },</w:t>
        <w:br/>
        <w:t xml:space="preserve">    content:        { type: String, required: true }, // AES-256 encrypted ciphertext</w:t>
        <w:br/>
        <w:t xml:space="preserve">    contentType:    { type: String, enum: ['text', 'image', 'file', 'price_quote'], default: 'text' },</w:t>
        <w:br/>
        <w:t xml:space="preserve">    isRead:         { type: Boolean, default: false },</w:t>
        <w:br/>
        <w:t xml:space="preserve">    readAt:         { type: Date },</w:t>
        <w:br/>
        <w:t xml:space="preserve">    createdAt:      { type: Date, default: Date.now }</w:t>
        <w:br/>
        <w:t>});</w:t>
        <w:br/>
        <w:br/>
        <w:t>// --- 3. Telemetry Alert Schema ---</w:t>
        <w:br/>
        <w:t>const alertSchema = new mongoose.Schema({</w:t>
        <w:br/>
        <w:t xml:space="preserve">    type:      { type: String, enum: ['danger', 'warning', 'info', 'success'], default: 'info' },</w:t>
        <w:br/>
        <w:t xml:space="preserve">    message:   { type: String, required: true },</w:t>
        <w:br/>
        <w:t xml:space="preserve">    resolved:  { type: Boolean, default: false },</w:t>
        <w:br/>
        <w:t xml:space="preserve">    source:    { type: String, default: 'System' },</w:t>
        <w:br/>
        <w:t xml:space="preserve">    createdAt: { type: Date, default: Date.now }</w:t>
        <w:br/>
        <w:t>});</w:t>
        <w:br/>
        <w:br/>
        <w:t>// --- 4. Predictive Forecast Schema ---</w:t>
        <w:br/>
        <w:t>const forecastSchema = new mongoose.Schema({</w:t>
        <w:br/>
        <w:t xml:space="preserve">    month:       { type: String, required: true },</w:t>
        <w:br/>
        <w:t xml:space="preserve">    year:        { type: Number, required: true },</w:t>
        <w:br/>
        <w:t xml:space="preserve">    predicted:   { type: Number, default: 0 },</w:t>
        <w:br/>
        <w:t xml:space="preserve">    actual:      { type: Number, default: null },</w:t>
        <w:br/>
        <w:t xml:space="preserve">    rainfall:    { type: Number, default: 0 },</w:t>
        <w:br/>
        <w:t xml:space="preserve">    temperature: { type: Number, default: 0 },</w:t>
        <w:br/>
        <w:t xml:space="preserve">    createdAt:   { type: Date, default: Date.now }</w:t>
        <w:br/>
        <w:t>});</w:t>
      </w:r>
    </w:p>
    <w:p>
      <w:r>
        <w:br w:type="page"/>
      </w:r>
    </w:p>
    <w:p>
      <w:pPr>
        <w:spacing w:before="960" w:after="120"/>
        <w:jc w:val="center"/>
      </w:pPr>
      <w:r>
        <w:rPr>
          <w:rFonts w:ascii="Times New Roman" w:hAnsi="Times New Roman"/>
          <w:b/>
          <w:sz w:val="36"/>
        </w:rPr>
        <w:t>CHAPTER 8</w:t>
      </w:r>
    </w:p>
    <w:p>
      <w:pPr>
        <w:spacing w:before="0" w:after="480"/>
        <w:jc w:val="center"/>
      </w:pPr>
      <w:r>
        <w:rPr>
          <w:rFonts w:ascii="Times New Roman" w:hAnsi="Times New Roman"/>
          <w:b/>
          <w:sz w:val="32"/>
        </w:rPr>
        <w:t>REFERENCES</w:t>
      </w:r>
    </w:p>
    <w:p>
      <w:pPr>
        <w:spacing w:after="120" w:before="0" w:line="276" w:lineRule="auto"/>
        <w:jc w:val="left"/>
      </w:pPr>
      <w:r>
        <w:rPr>
          <w:rFonts w:ascii="Times New Roman" w:hAnsi="Times New Roman"/>
          <w:b w:val="0"/>
          <w:i w:val="0"/>
          <w:color w:val="000000"/>
          <w:sz w:val="22"/>
        </w:rPr>
        <w:t>[22] R. S. Paroda, 'Reorienting Indian Agriculture: Challenges and Opportunities,' CABI Agriculture and Bioscience, vol. 2, no. 1, pp. 1–14, 2021.</w:t>
      </w:r>
    </w:p>
    <w:p>
      <w:pPr>
        <w:spacing w:after="120" w:before="0" w:line="276" w:lineRule="auto"/>
        <w:jc w:val="left"/>
      </w:pPr>
      <w:r>
        <w:rPr>
          <w:rFonts w:ascii="Times New Roman" w:hAnsi="Times New Roman"/>
          <w:b w:val="0"/>
          <w:i w:val="0"/>
          <w:color w:val="000000"/>
          <w:sz w:val="22"/>
        </w:rPr>
        <w:t>[21] S. Patrício and R. Rieder, 'Computer vision and artificial intelligence in precision agriculture for grain crops: A systematic review,' Computers and Electronics in Agriculture, vol. 153, pp. 69–81, 2018.</w:t>
      </w:r>
    </w:p>
    <w:p>
      <w:pPr>
        <w:spacing w:after="120" w:before="0" w:line="276" w:lineRule="auto"/>
        <w:jc w:val="left"/>
      </w:pPr>
      <w:r>
        <w:rPr>
          <w:rFonts w:ascii="Times New Roman" w:hAnsi="Times New Roman"/>
          <w:b w:val="0"/>
          <w:i w:val="0"/>
          <w:color w:val="000000"/>
          <w:sz w:val="22"/>
        </w:rPr>
        <w:t>[20] United Nations, 'Transforming our world: The 2030 Agenda for Sustainable Development,' Division for Sustainable Development Goals, UN Doc. A/RES/70/1, New York, 2015.</w:t>
      </w:r>
    </w:p>
    <w:p>
      <w:pPr>
        <w:spacing w:after="120" w:before="0" w:line="276" w:lineRule="auto"/>
        <w:jc w:val="left"/>
      </w:pPr>
      <w:r>
        <w:rPr>
          <w:rFonts w:ascii="Times New Roman" w:hAnsi="Times New Roman"/>
          <w:b w:val="0"/>
          <w:i w:val="0"/>
          <w:color w:val="000000"/>
          <w:sz w:val="22"/>
        </w:rPr>
        <w:t>[19] I. F. Akyildiz, W. Su, Y. Sankarasubramaniam, and E. Cayirci, 'Wireless sensor networks: A survey,' Computer Networks, vol. 38, no. 4, pp. 393–422, 2002.</w:t>
      </w:r>
    </w:p>
    <w:p>
      <w:pPr>
        <w:spacing w:after="120" w:before="0" w:line="276" w:lineRule="auto"/>
        <w:jc w:val="left"/>
      </w:pPr>
      <w:r>
        <w:rPr>
          <w:rFonts w:ascii="Times New Roman" w:hAnsi="Times New Roman"/>
          <w:b w:val="0"/>
          <w:i w:val="0"/>
          <w:color w:val="000000"/>
          <w:sz w:val="22"/>
        </w:rPr>
        <w:t>[18] National Institute of Standards and Technology (NIST), 'Advanced Encryption Standard (AES),' Federal Information Processing Standards Publication (FIPS PUB) 197, Nov. 2001.</w:t>
      </w:r>
    </w:p>
    <w:p>
      <w:pPr>
        <w:spacing w:after="120" w:before="0" w:line="276" w:lineRule="auto"/>
        <w:jc w:val="left"/>
      </w:pPr>
      <w:r>
        <w:rPr>
          <w:rFonts w:ascii="Times New Roman" w:hAnsi="Times New Roman"/>
          <w:b w:val="0"/>
          <w:i w:val="0"/>
          <w:color w:val="000000"/>
          <w:sz w:val="22"/>
        </w:rPr>
        <w:t>[17] K. Chodorow, MongoDB: The Definitive Guide - Powerful and Scalable Data Storage, 3rd ed. O'Reilly Media, 2020.</w:t>
      </w:r>
    </w:p>
    <w:p>
      <w:pPr>
        <w:spacing w:after="120" w:before="0" w:line="276" w:lineRule="auto"/>
        <w:jc w:val="left"/>
      </w:pPr>
      <w:r>
        <w:rPr>
          <w:rFonts w:ascii="Times New Roman" w:hAnsi="Times New Roman"/>
          <w:b w:val="0"/>
          <w:i w:val="0"/>
          <w:color w:val="000000"/>
          <w:sz w:val="22"/>
        </w:rPr>
        <w:t>[16] A. Banks and E. Porcello, Learning React: Modern Patterns for Developing React and Real-Time Node Applications, 2nd ed. O'Reilly Media, 2020.</w:t>
      </w:r>
    </w:p>
    <w:p>
      <w:pPr>
        <w:spacing w:after="120" w:before="0" w:line="276" w:lineRule="auto"/>
        <w:jc w:val="left"/>
      </w:pPr>
      <w:r>
        <w:rPr>
          <w:rFonts w:ascii="Times New Roman" w:hAnsi="Times New Roman"/>
          <w:b w:val="0"/>
          <w:i w:val="0"/>
          <w:color w:val="000000"/>
          <w:sz w:val="22"/>
        </w:rPr>
        <w:t>[15] M. Grinberg, Flask Web Development: Developing Web Applications with Python, 2nd ed. Sebastopol, CA: O'Reilly Media, 2018.</w:t>
      </w:r>
    </w:p>
    <w:p>
      <w:pPr>
        <w:spacing w:after="120" w:before="0" w:line="276" w:lineRule="auto"/>
        <w:jc w:val="left"/>
      </w:pPr>
      <w:r>
        <w:rPr>
          <w:rFonts w:ascii="Times New Roman" w:hAnsi="Times New Roman"/>
          <w:b w:val="0"/>
          <w:i w:val="0"/>
          <w:color w:val="000000"/>
          <w:sz w:val="22"/>
        </w:rPr>
        <w:t>[14] W. McKinney, 'Data Structures for Statistical Computing in Python,' in Proceedings of the 9th Python in Science Conference, Austin, TX, 2010, pp. 56–61.</w:t>
      </w:r>
    </w:p>
    <w:p>
      <w:pPr>
        <w:spacing w:after="120" w:before="0" w:line="276" w:lineRule="auto"/>
        <w:jc w:val="left"/>
      </w:pPr>
      <w:r>
        <w:rPr>
          <w:rFonts w:ascii="Times New Roman" w:hAnsi="Times New Roman"/>
          <w:b w:val="0"/>
          <w:i w:val="0"/>
          <w:color w:val="000000"/>
          <w:sz w:val="22"/>
        </w:rPr>
        <w:t>[13] J. D. Hunter, 'Matplotlib: A 2D Graphics Environment,' Computing in Science &amp; Engineering, vol. 9, no. 3, pp. 90–95, 2007.</w:t>
      </w:r>
    </w:p>
    <w:p>
      <w:pPr>
        <w:spacing w:after="120" w:before="0" w:line="276" w:lineRule="auto"/>
        <w:jc w:val="left"/>
      </w:pPr>
      <w:r>
        <w:rPr>
          <w:rFonts w:ascii="Times New Roman" w:hAnsi="Times New Roman"/>
          <w:b w:val="0"/>
          <w:i w:val="0"/>
          <w:color w:val="000000"/>
          <w:sz w:val="22"/>
        </w:rPr>
        <w:t>[12] Cotton Corporation of India (CCI), 'Indian Cotton Annual Balance Sheet, Quality Grading and Warehousing Guidelines,' Ministry of Textiles, Govt. of India, Mumbai, 2025.</w:t>
      </w:r>
    </w:p>
    <w:p>
      <w:pPr>
        <w:spacing w:after="120" w:before="0" w:line="276" w:lineRule="auto"/>
        <w:jc w:val="left"/>
      </w:pPr>
      <w:r>
        <w:rPr>
          <w:rFonts w:ascii="Times New Roman" w:hAnsi="Times New Roman"/>
          <w:b w:val="0"/>
          <w:i w:val="0"/>
          <w:color w:val="000000"/>
          <w:sz w:val="22"/>
        </w:rPr>
        <w:t>[11] ICAR - Directorate of Cotton Development, 'Cotton Production Technologies and Best Agronomic Management in India,' Ministry of Agriculture &amp; Farmers Welfare, New Delhi, Annual Report 2023–24.</w:t>
      </w:r>
    </w:p>
    <w:p>
      <w:pPr>
        <w:spacing w:after="120" w:before="0" w:line="276" w:lineRule="auto"/>
        <w:jc w:val="left"/>
      </w:pPr>
      <w:r>
        <w:rPr>
          <w:rFonts w:ascii="Times New Roman" w:hAnsi="Times New Roman"/>
          <w:b w:val="0"/>
          <w:i w:val="0"/>
          <w:color w:val="000000"/>
          <w:sz w:val="22"/>
        </w:rPr>
        <w:t>[10] F. Pedregosa et al., 'Scikit-learn: Machine Learning in Python,' Journal of Machine Learning Research, vol. 12, pp. 2825–2830, 2011.</w:t>
      </w:r>
    </w:p>
    <w:p>
      <w:pPr>
        <w:spacing w:after="120" w:before="0" w:line="276" w:lineRule="auto"/>
        <w:jc w:val="left"/>
      </w:pPr>
      <w:r>
        <w:rPr>
          <w:rFonts w:ascii="Times New Roman" w:hAnsi="Times New Roman"/>
          <w:b w:val="0"/>
          <w:i w:val="0"/>
          <w:color w:val="000000"/>
          <w:sz w:val="22"/>
        </w:rPr>
        <w:t>[9] L. Breiman, 'Random Forests,' Machine Learning, vol. 45, no. 1, pp. 5–32, Oct. 2001.</w:t>
      </w:r>
    </w:p>
    <w:p>
      <w:pPr>
        <w:spacing w:after="120" w:before="0" w:line="276" w:lineRule="auto"/>
        <w:jc w:val="left"/>
      </w:pPr>
      <w:r>
        <w:rPr>
          <w:rFonts w:ascii="Times New Roman" w:hAnsi="Times New Roman"/>
          <w:b w:val="0"/>
          <w:i w:val="0"/>
          <w:color w:val="000000"/>
          <w:sz w:val="22"/>
        </w:rPr>
        <w:t>[8] A. A. Reddy and R. Chand, 'Electronic National Agricultural Market (e-NAM) in India: Review of Performance, Opportunities, and Challenges,' Indian Journal of Agricultural Economics, vol. 75, no. 3, pp. 289–305, 2020.</w:t>
      </w:r>
    </w:p>
    <w:p>
      <w:pPr>
        <w:spacing w:after="120" w:before="0" w:line="276" w:lineRule="auto"/>
        <w:jc w:val="left"/>
      </w:pPr>
      <w:r>
        <w:rPr>
          <w:rFonts w:ascii="Times New Roman" w:hAnsi="Times New Roman"/>
          <w:b w:val="0"/>
          <w:i w:val="0"/>
          <w:color w:val="000000"/>
          <w:sz w:val="22"/>
        </w:rPr>
        <w:t>[7] A. Pal and K. Kant, 'IoT-based Wireless Sensor Networks for Post-Harvest Food Grain Storage Monitoring,' IEEE Transactions on Industrial Informatics, vol. 15, no. 9, pp. 5240–5250, Sep. 2019.</w:t>
      </w:r>
    </w:p>
    <w:p>
      <w:pPr>
        <w:spacing w:after="120" w:before="0" w:line="276" w:lineRule="auto"/>
        <w:jc w:val="left"/>
      </w:pPr>
      <w:r>
        <w:rPr>
          <w:rFonts w:ascii="Times New Roman" w:hAnsi="Times New Roman"/>
          <w:b w:val="0"/>
          <w:i w:val="0"/>
          <w:color w:val="000000"/>
          <w:sz w:val="22"/>
        </w:rPr>
        <w:t>[6] W. S. Anthony, 'The Ginning and Storage of Cotton: Fiber Quality Preservation and Engineering Control,' Journal of Cotton Science, vol. 22, pp. 112–129, 2018.</w:t>
      </w:r>
    </w:p>
    <w:p>
      <w:pPr>
        <w:spacing w:after="120" w:before="0" w:line="276" w:lineRule="auto"/>
        <w:jc w:val="left"/>
      </w:pPr>
      <w:r>
        <w:rPr>
          <w:rFonts w:ascii="Times New Roman" w:hAnsi="Times New Roman"/>
          <w:b w:val="0"/>
          <w:i w:val="0"/>
          <w:color w:val="000000"/>
          <w:sz w:val="22"/>
        </w:rPr>
        <w:t>[5] H. Pathak, R. N. Chatterjee, and K. K. Bandyopadhyay, 'Soil Health and Fertilizer Management in Indian Agriculture,' Current Science, vol. 120, no. 4, pp. 612–624, 2021.</w:t>
      </w:r>
    </w:p>
    <w:p>
      <w:pPr>
        <w:spacing w:after="120" w:before="0" w:line="276" w:lineRule="auto"/>
        <w:jc w:val="left"/>
      </w:pPr>
      <w:r>
        <w:rPr>
          <w:rFonts w:ascii="Times New Roman" w:hAnsi="Times New Roman"/>
          <w:b w:val="0"/>
          <w:i w:val="0"/>
          <w:color w:val="000000"/>
          <w:sz w:val="22"/>
        </w:rPr>
        <w:t>[4] B. Ramamoorthy, R. L. Narasimham, and R. S. Dinesh, 'Fertilizer application for specific yield targets of crops,' Indian Farming, vol. 17, no. 5, pp. 43–45, 1967.</w:t>
      </w:r>
    </w:p>
    <w:p>
      <w:pPr>
        <w:spacing w:after="120" w:before="0" w:line="276" w:lineRule="auto"/>
        <w:jc w:val="left"/>
      </w:pPr>
      <w:r>
        <w:rPr>
          <w:rFonts w:ascii="Times New Roman" w:hAnsi="Times New Roman"/>
          <w:b w:val="0"/>
          <w:i w:val="0"/>
          <w:color w:val="000000"/>
          <w:sz w:val="22"/>
        </w:rPr>
        <w:t>[3] A. Sharma, A. Jain, P. Gupta, and V. Chouhan, 'Machine Learning Applications for Precision Agriculture: A Comprehensive Review,' IEEE Access, vol. 8, pp. 19787–19803, 2020.</w:t>
      </w:r>
    </w:p>
    <w:p>
      <w:pPr>
        <w:spacing w:after="120" w:before="0" w:line="276" w:lineRule="auto"/>
        <w:jc w:val="left"/>
      </w:pPr>
      <w:r>
        <w:rPr>
          <w:rFonts w:ascii="Times New Roman" w:hAnsi="Times New Roman"/>
          <w:b w:val="0"/>
          <w:i w:val="0"/>
          <w:color w:val="000000"/>
          <w:sz w:val="22"/>
        </w:rPr>
        <w:t>[2] A. Kamilaris and F. X. Prenafeta-Boldú, 'Deep learning in agriculture: A survey,' Computers and Electronics in Agriculture, vol. 147, pp. 70–90, Apr. 2018.</w:t>
      </w:r>
    </w:p>
    <w:p>
      <w:pPr>
        <w:spacing w:after="120" w:before="0" w:line="276" w:lineRule="auto"/>
        <w:jc w:val="left"/>
      </w:pPr>
      <w:r>
        <w:rPr>
          <w:rFonts w:ascii="Times New Roman" w:hAnsi="Times New Roman"/>
          <w:b w:val="0"/>
          <w:i w:val="0"/>
          <w:color w:val="000000"/>
          <w:sz w:val="22"/>
        </w:rPr>
        <w:t>[1] S. Wolfert, L. Ge, C. Verdouw, and M.-J. Bogaardt, 'Big Data in Smart Farming – A review,' Agricultural Systems, vol. 153, pp. 69–80, May 2017.</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