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Agentic AI Analysis Report</w:t>
      </w:r>
    </w:p>
    <w:p>
      <w:pPr>
        <w:pStyle w:val="ListBullet"/>
      </w:pPr>
      <w:r>
        <w:t>Enhanced Data Privacy and Security: Local AI systems process data on-site, reducing the risk of data breaches and compliance issues.</w:t>
      </w:r>
    </w:p>
    <w:p>
      <w:pPr>
        <w:pStyle w:val="ListBullet"/>
      </w:pPr>
      <w:r>
        <w:t>Faster Processing and Lower Latency: By performing computations locally, there is a reduction in data transfer time, leading to faster and more responsive systems.</w:t>
      </w:r>
    </w:p>
    <w:p>
      <w:pPr>
        <w:pStyle w:val="ListBullet"/>
      </w:pPr>
      <w:r>
        <w:t>Increased Accessibility and Offline Capabilities: Local AI allows for functionality even in areas with poor internet connectivity, making it more versatile and accessible in diverse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