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58158"/>
          <w:sz w:val="20"/>
          <w:szCs w:val="20"/>
        </w:rPr>
        <w:t xml:space="preserve">PRODUCT REQUIREMENTS</w:t>
      </w:r>
    </w:p>
    <w:p>
      <w:pPr>
        <w:spacing w:after="80"/>
      </w:pPr>
      <w:r>
        <w:rPr>
          <w:rFonts w:ascii="Arial" w:cs="Arial" w:eastAsia="Arial" w:hAnsi="Arial"/>
          <w:b/>
          <w:bCs/>
          <w:color w:val="1A1A1A"/>
          <w:sz w:val="48"/>
          <w:szCs w:val="48"/>
        </w:rPr>
        <w:t xml:space="preserve">DealFlow Approval Agents</w:t>
      </w:r>
    </w:p>
    <w:p>
      <w:pPr>
        <w:spacing w:after="120"/>
      </w:pPr>
      <w:r>
        <w:rPr>
          <w:rFonts w:ascii="Arial" w:cs="Arial" w:eastAsia="Arial" w:hAnsi="Arial"/>
          <w:color w:val="1A1A1A"/>
          <w:sz w:val="22"/>
          <w:szCs w:val="22"/>
        </w:rPr>
        <w:t xml:space="preserve">An AI approval crew that owns one hop in quote-to-cash: Submit for approval to Approved, Escalated, or Rejected. Not a CPQ. A specialist a Salesforce, DealHub, Conga, or Zuora quote can call.</w:t>
      </w:r>
    </w:p>
    <w:p>
      <w:pPr>
        <w:spacing w:after="120"/>
      </w:pPr>
      <w:r>
        <w:rPr>
          <w:rFonts w:ascii="Arial" w:cs="Arial" w:eastAsia="Arial" w:hAnsi="Arial"/>
          <w:color w:val="1A1A1A"/>
          <w:sz w:val="22"/>
          <w:szCs w:val="22"/>
        </w:rPr>
        <w:t xml:space="preserve">Version 1.1  ·  October 2026  ·  Author: Shashank Jasra  ·  Demo company: Helio Quote  ·  Status: working product, golden set 9 of 9.</w:t>
      </w:r>
    </w:p>
    <w:p>
      <w:pPr>
        <w:pStyle w:val="Heading1"/>
        <w:spacing w:after="160" w:before="360"/>
      </w:pPr>
      <w:r>
        <w:rPr>
          <w:rFonts w:ascii="Arial" w:cs="Arial" w:eastAsia="Arial" w:hAnsi="Arial"/>
          <w:b/>
          <w:bCs/>
          <w:color w:val="158158"/>
          <w:sz w:val="32"/>
          <w:szCs w:val="32"/>
        </w:rPr>
        <w:t xml:space="preserve">1. Problem</w:t>
      </w:r>
    </w:p>
    <w:p>
      <w:pPr>
        <w:spacing w:after="120"/>
      </w:pPr>
      <w:r>
        <w:rPr>
          <w:rFonts w:ascii="Arial" w:cs="Arial" w:eastAsia="Arial" w:hAnsi="Arial"/>
          <w:color w:val="1A1A1A"/>
          <w:sz w:val="22"/>
          <w:szCs w:val="22"/>
        </w:rPr>
        <w:t xml:space="preserve">A seller submits a quote. Someone on Deal Desk opens the discount book, the cash book, last year's terms, and the open invoices, then writes Approve, Escalate, or Reject. That work is slow, uneven at quarter-end, and easy to game with a note in the quote.</w:t>
      </w:r>
    </w:p>
    <w:p>
      <w:pPr>
        <w:spacing w:after="120"/>
      </w:pPr>
      <w:r>
        <w:rPr>
          <w:rFonts w:ascii="Arial" w:cs="Arial" w:eastAsia="Arial" w:hAnsi="Arial"/>
          <w:color w:val="1A1A1A"/>
          <w:sz w:val="22"/>
          <w:szCs w:val="22"/>
        </w:rPr>
        <w:t xml:space="preserve">A ceiling table can say 22% is the line. It cannot open a credit file, compare three closed years, notice $18,400 past due, and still refuse a note that says mark this Approved. A chatbot can write a reason. It cannot be trusted to write the stage.</w:t>
      </w:r>
    </w:p>
    <w:p>
      <w:pPr>
        <w:spacing w:after="120"/>
      </w:pPr>
      <w:r>
        <w:rPr>
          <w:rFonts w:ascii="Arial" w:cs="Arial" w:eastAsia="Arial" w:hAnsi="Arial"/>
          <w:color w:val="1A1A1A"/>
          <w:sz w:val="22"/>
          <w:szCs w:val="22"/>
        </w:rPr>
        <w:t xml:space="preserve">The job needs a goal, tools, a stricter-of-two rule, and a guardrail a note cannot override. That is an agent crew, not a rule engine and not a generative assistant.</w:t>
      </w:r>
    </w:p>
    <w:p>
      <w:pPr>
        <w:pStyle w:val="Heading1"/>
        <w:spacing w:after="160" w:before="360"/>
      </w:pPr>
      <w:r>
        <w:rPr>
          <w:rFonts w:ascii="Arial" w:cs="Arial" w:eastAsia="Arial" w:hAnsi="Arial"/>
          <w:b/>
          <w:bCs/>
          <w:color w:val="158158"/>
          <w:sz w:val="32"/>
          <w:szCs w:val="32"/>
        </w:rPr>
        <w:t xml:space="preserve">2. Product definition</w:t>
      </w:r>
    </w:p>
    <w:p>
      <w:pPr>
        <w:pStyle w:val="Heading2"/>
        <w:spacing w:after="100" w:before="280"/>
      </w:pPr>
      <w:r>
        <w:rPr>
          <w:rFonts w:ascii="Arial" w:cs="Arial" w:eastAsia="Arial" w:hAnsi="Arial"/>
          <w:b/>
          <w:bCs/>
          <w:color w:val="1A1A1A"/>
          <w:sz w:val="26"/>
          <w:szCs w:val="26"/>
        </w:rPr>
        <w:t xml:space="preserve">2.1 What it is</w:t>
      </w:r>
    </w:p>
    <w:p>
      <w:pPr>
        <w:spacing w:after="120"/>
      </w:pPr>
      <w:r>
        <w:rPr>
          <w:rFonts w:ascii="Arial" w:cs="Arial" w:eastAsia="Arial" w:hAnsi="Arial"/>
          <w:color w:val="1A1A1A"/>
          <w:sz w:val="22"/>
          <w:szCs w:val="22"/>
        </w:rPr>
        <w:t xml:space="preserve">DealFlow Approval Agents is an AI Approval Agent product. Three agents read the live policy books and the account file through tools, write one cited label, and write that label back to the CPQ.</w:t>
      </w:r>
    </w:p>
    <w:p>
      <w:pPr>
        <w:pStyle w:val="Heading2"/>
        <w:spacing w:after="100" w:before="280"/>
      </w:pPr>
      <w:r>
        <w:rPr>
          <w:rFonts w:ascii="Arial" w:cs="Arial" w:eastAsia="Arial" w:hAnsi="Arial"/>
          <w:b/>
          <w:bCs/>
          <w:color w:val="1A1A1A"/>
          <w:sz w:val="26"/>
          <w:szCs w:val="26"/>
        </w:rPr>
        <w:t xml:space="preserve">2.2 What it is not</w:t>
      </w:r>
    </w:p>
    <w:p>
      <w:pPr>
        <w:pStyle w:val="ListParagraph"/>
        <w:numPr>
          <w:ilvl w:val="0"/>
          <w:numId w:val="2"/>
        </w:numPr>
        <w:spacing w:after="60"/>
      </w:pPr>
      <w:r>
        <w:rPr>
          <w:rFonts w:ascii="Arial" w:cs="Arial" w:eastAsia="Arial" w:hAnsi="Arial"/>
          <w:color w:val="1A1A1A"/>
          <w:sz w:val="22"/>
          <w:szCs w:val="22"/>
        </w:rPr>
        <w:t xml:space="preserve">Not a CPQ, a price configurator, an e-sign tool, or a billing system.</w:t>
      </w:r>
    </w:p>
    <w:p>
      <w:pPr>
        <w:pStyle w:val="ListParagraph"/>
        <w:numPr>
          <w:ilvl w:val="0"/>
          <w:numId w:val="2"/>
        </w:numPr>
        <w:spacing w:after="60"/>
      </w:pPr>
      <w:r>
        <w:rPr>
          <w:rFonts w:ascii="Arial" w:cs="Arial" w:eastAsia="Arial" w:hAnsi="Arial"/>
          <w:color w:val="1A1A1A"/>
          <w:sz w:val="22"/>
          <w:szCs w:val="22"/>
        </w:rPr>
        <w:t xml:space="preserve">Not a chatbot that summarizes the book. The output is a stage, or a named assignment.</w:t>
      </w:r>
    </w:p>
    <w:p>
      <w:pPr>
        <w:pStyle w:val="ListParagraph"/>
        <w:numPr>
          <w:ilvl w:val="0"/>
          <w:numId w:val="2"/>
        </w:numPr>
        <w:spacing w:after="60"/>
      </w:pPr>
      <w:r>
        <w:rPr>
          <w:rFonts w:ascii="Arial" w:cs="Arial" w:eastAsia="Arial" w:hAnsi="Arial"/>
          <w:color w:val="1A1A1A"/>
          <w:sz w:val="22"/>
          <w:szCs w:val="22"/>
        </w:rPr>
        <w:t xml:space="preserve">Not allowed to write Sent, Signed, or Converted. Those stay with the seller.</w:t>
      </w:r>
    </w:p>
    <w:p>
      <w:pPr>
        <w:pStyle w:val="Heading2"/>
        <w:spacing w:after="100" w:before="280"/>
      </w:pPr>
      <w:r>
        <w:rPr>
          <w:rFonts w:ascii="Arial" w:cs="Arial" w:eastAsia="Arial" w:hAnsi="Arial"/>
          <w:b/>
          <w:bCs/>
          <w:color w:val="1A1A1A"/>
          <w:sz w:val="26"/>
          <w:szCs w:val="26"/>
        </w:rPr>
        <w:t xml:space="preserve">2.3 The hop</w:t>
      </w:r>
    </w:p>
    <w:p>
      <w:pPr>
        <w:spacing w:after="120"/>
      </w:pPr>
      <w:r>
        <w:rPr>
          <w:rFonts w:ascii="Arial" w:cs="Arial" w:eastAsia="Arial" w:hAnsi="Arial"/>
          <w:color w:val="1A1A1A"/>
          <w:sz w:val="22"/>
          <w:szCs w:val="22"/>
        </w:rPr>
        <w:t xml:space="preserve">Quote stages: Draft, Submit for approval, Approved, Sent to customer, Signed, Converted. Rejected sits beside Approved. Agents own only Submit to Approved, Escalated, or Rejected.</w:t>
      </w:r>
    </w:p>
    <w:p>
      <w:pPr>
        <w:pStyle w:val="Heading2"/>
        <w:spacing w:after="100" w:before="280"/>
      </w:pPr>
      <w:r>
        <w:rPr>
          <w:rFonts w:ascii="Arial" w:cs="Arial" w:eastAsia="Arial" w:hAnsi="Arial"/>
          <w:b/>
          <w:bCs/>
          <w:color w:val="1A1A1A"/>
          <w:sz w:val="26"/>
          <w:szCs w:val="26"/>
        </w:rPr>
        <w:t xml:space="preserve">2.4 Positioning</w:t>
      </w:r>
    </w:p>
    <w:p>
      <w:pPr>
        <w:spacing w:after="120"/>
      </w:pPr>
      <w:r>
        <w:rPr>
          <w:rFonts w:ascii="Arial" w:cs="Arial" w:eastAsia="Arial" w:hAnsi="Arial"/>
          <w:color w:val="1A1A1A"/>
          <w:sz w:val="22"/>
          <w:szCs w:val="22"/>
        </w:rPr>
        <w:t xml:space="preserve">CRM and CPQ agnostic. Integrates beside Salesforce CPQ, Revenue Cloud, DealHub, Conga, and Zuora. The CPQ remains the system of record. The inbound event is Submit. The outbound is one stage or one assignment.</w:t>
      </w:r>
    </w:p>
    <w:p>
      <w:pPr>
        <w:pStyle w:val="Heading1"/>
        <w:spacing w:after="160" w:before="360"/>
      </w:pPr>
      <w:r>
        <w:rPr>
          <w:rFonts w:ascii="Arial" w:cs="Arial" w:eastAsia="Arial" w:hAnsi="Arial"/>
          <w:b/>
          <w:bCs/>
          <w:color w:val="158158"/>
          <w:sz w:val="32"/>
          <w:szCs w:val="32"/>
        </w:rPr>
        <w:t xml:space="preserve">3.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960"/>
      </w:tblGrid>
      <w:tr>
        <w:tc>
          <w:tcPr>
            <w:tcW w:type="dxa" w:w="160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Role</w:t>
            </w:r>
          </w:p>
        </w:tc>
        <w:tc>
          <w:tcPr>
            <w:tcW w:type="dxa" w:w="180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Person</w:t>
            </w:r>
          </w:p>
        </w:tc>
        <w:tc>
          <w:tcPr>
            <w:tcW w:type="dxa" w:w="300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Job</w:t>
            </w:r>
          </w:p>
        </w:tc>
        <w:tc>
          <w:tcPr>
            <w:tcW w:type="dxa" w:w="296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Pain</w:t>
            </w:r>
          </w:p>
        </w:tc>
      </w:tr>
      <w:tr>
        <w:tc>
          <w:tcPr>
            <w:tcW w:type="dxa" w:w="16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Seller</w:t>
            </w:r>
          </w:p>
        </w:tc>
        <w:tc>
          <w:tcPr>
            <w:tcW w:type="dxa" w:w="18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Jordan Lee</w:t>
            </w:r>
          </w:p>
        </w:tc>
        <w:tc>
          <w:tcPr>
            <w:tcW w:type="dxa" w:w="30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Get a fair quote to the customer</w:t>
            </w:r>
          </w:p>
        </w:tc>
        <w:tc>
          <w:tcPr>
            <w:tcW w:type="dxa" w:w="29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Cannot see if it will clear, or why</w:t>
            </w:r>
          </w:p>
        </w:tc>
      </w:tr>
      <w:tr>
        <w:tc>
          <w:tcPr>
            <w:tcW w:type="dxa" w:w="16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Deal Desk</w:t>
            </w:r>
          </w:p>
        </w:tc>
        <w:tc>
          <w:tcPr>
            <w:tcW w:type="dxa" w:w="18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Alex Okonkwo</w:t>
            </w:r>
          </w:p>
        </w:tc>
        <w:tc>
          <w:tcPr>
            <w:tcW w:type="dxa" w:w="30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Apply the book the same way every time</w:t>
            </w:r>
          </w:p>
        </w:tc>
        <w:tc>
          <w:tcPr>
            <w:tcW w:type="dxa" w:w="29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Quarter-end piles, notes that skip the book</w:t>
            </w:r>
          </w:p>
        </w:tc>
      </w:tr>
      <w:tr>
        <w:tc>
          <w:tcPr>
            <w:tcW w:type="dxa" w:w="16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RevOps</w:t>
            </w:r>
          </w:p>
        </w:tc>
        <w:tc>
          <w:tcPr>
            <w:tcW w:type="dxa" w:w="18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Admin</w:t>
            </w:r>
          </w:p>
        </w:tc>
        <w:tc>
          <w:tcPr>
            <w:tcW w:type="dxa" w:w="30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Make the live book the one agents cite</w:t>
            </w:r>
          </w:p>
        </w:tc>
        <w:tc>
          <w:tcPr>
            <w:tcW w:type="dxa" w:w="29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Policy lives in a PDF no system can cite</w:t>
            </w:r>
          </w:p>
        </w:tc>
      </w:tr>
      <w:tr>
        <w:tc>
          <w:tcPr>
            <w:tcW w:type="dxa" w:w="16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Finance</w:t>
            </w:r>
          </w:p>
        </w:tc>
        <w:tc>
          <w:tcPr>
            <w:tcW w:type="dxa" w:w="18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Reviewer</w:t>
            </w:r>
          </w:p>
        </w:tc>
        <w:tc>
          <w:tcPr>
            <w:tcW w:type="dxa" w:w="30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Replay why a label was written</w:t>
            </w:r>
          </w:p>
        </w:tc>
        <w:tc>
          <w:tcPr>
            <w:tcW w:type="dxa" w:w="29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No version, no owner, no cited rule</w:t>
            </w:r>
          </w:p>
        </w:tc>
      </w:tr>
    </w:tbl>
    <w:p>
      <w:pPr>
        <w:spacing w:after="120"/>
      </w:pPr>
    </w:p>
    <w:p>
      <w:pPr>
        <w:spacing w:after="120"/>
      </w:pPr>
      <w:r>
        <w:rPr>
          <w:rFonts w:ascii="Arial" w:cs="Arial" w:eastAsia="Arial" w:hAnsi="Arial"/>
          <w:color w:val="1A1A1A"/>
          <w:sz w:val="22"/>
          <w:szCs w:val="22"/>
        </w:rPr>
        <w:t xml:space="preserve">Views in the console: Quotes (seller), Approvals (Deal Desk), Golden set, Policy, Agents, Flow, Langfuse (RevOps).</w:t>
      </w:r>
    </w:p>
    <w:p>
      <w:pPr>
        <w:pStyle w:val="Heading1"/>
        <w:spacing w:after="160" w:before="360"/>
      </w:pPr>
      <w:r>
        <w:rPr>
          <w:rFonts w:ascii="Arial" w:cs="Arial" w:eastAsia="Arial" w:hAnsi="Arial"/>
          <w:b/>
          <w:bCs/>
          <w:color w:val="158158"/>
          <w:sz w:val="32"/>
          <w:szCs w:val="32"/>
        </w:rPr>
        <w:t xml:space="preserve">4. Agent architecture</w:t>
      </w:r>
    </w:p>
    <w:p>
      <w:pPr>
        <w:spacing w:after="120"/>
      </w:pPr>
      <w:r>
        <w:rPr>
          <w:rFonts w:ascii="Arial" w:cs="Arial" w:eastAsia="Arial" w:hAnsi="Arial"/>
          <w:color w:val="1A1A1A"/>
          <w:sz w:val="22"/>
          <w:szCs w:val="22"/>
        </w:rPr>
        <w:t xml:space="preserve">Centralized orchestrator with two specialists in parallel. Python 3.10. LangGraph is the graph. Pydantic is the contract for every node. Chosen so one label is written, and so a note cannot talk to either specialist as an instruction.</w:t>
      </w:r>
    </w:p>
    <w:p>
      <w:pPr>
        <w:pStyle w:val="Heading2"/>
        <w:spacing w:after="100" w:before="280"/>
      </w:pPr>
      <w:r>
        <w:rPr>
          <w:rFonts w:ascii="Arial" w:cs="Arial" w:eastAsia="Arial" w:hAnsi="Arial"/>
          <w:b/>
          <w:bCs/>
          <w:color w:val="1A1A1A"/>
          <w:sz w:val="26"/>
          <w:szCs w:val="26"/>
        </w:rPr>
        <w:t xml:space="preserve">4.1 Roles</w:t>
      </w:r>
    </w:p>
    <w:p>
      <w:pPr>
        <w:pStyle w:val="ListParagraph"/>
        <w:numPr>
          <w:ilvl w:val="0"/>
          <w:numId w:val="2"/>
        </w:numPr>
        <w:spacing w:after="60"/>
      </w:pPr>
      <w:r>
        <w:rPr>
          <w:rFonts w:ascii="Arial" w:cs="Arial" w:eastAsia="Arial" w:hAnsi="Arial"/>
          <w:color w:val="1A1A1A"/>
          <w:sz w:val="22"/>
          <w:szCs w:val="22"/>
        </w:rPr>
        <w:t xml:space="preserve">Orchestrator, goal-based. Opens the hop on Submit. Waits for both specialists. Keeps the stricter label. Writes the stage or the assignment.</w:t>
      </w:r>
    </w:p>
    <w:p>
      <w:pPr>
        <w:pStyle w:val="ListParagraph"/>
        <w:numPr>
          <w:ilvl w:val="0"/>
          <w:numId w:val="2"/>
        </w:numPr>
        <w:spacing w:after="60"/>
      </w:pPr>
      <w:r>
        <w:rPr>
          <w:rFonts w:ascii="Arial" w:cs="Arial" w:eastAsia="Arial" w:hAnsi="Arial"/>
          <w:color w:val="1A1A1A"/>
          <w:sz w:val="22"/>
          <w:szCs w:val="22"/>
        </w:rPr>
        <w:t xml:space="preserve">Discount and Pricing agent, tool-using. Reads the live discount book for segment and quote type, then the account file: closed years for renewals, peer new logos for new business, multi-year terms.</w:t>
      </w:r>
    </w:p>
    <w:p>
      <w:pPr>
        <w:pStyle w:val="ListParagraph"/>
        <w:numPr>
          <w:ilvl w:val="0"/>
          <w:numId w:val="2"/>
        </w:numPr>
        <w:spacing w:after="60"/>
      </w:pPr>
      <w:r>
        <w:rPr>
          <w:rFonts w:ascii="Arial" w:cs="Arial" w:eastAsia="Arial" w:hAnsi="Arial"/>
          <w:color w:val="1A1A1A"/>
          <w:sz w:val="22"/>
          <w:szCs w:val="22"/>
        </w:rPr>
        <w:t xml:space="preserve">Payment Terms and Billing agent, tool-using. Reads the cash book and the receivables file. A worse term than last year, or open dues, is a hold.</w:t>
      </w:r>
    </w:p>
    <w:p>
      <w:pPr>
        <w:pStyle w:val="Heading2"/>
        <w:spacing w:after="100" w:before="280"/>
      </w:pPr>
      <w:r>
        <w:rPr>
          <w:rFonts w:ascii="Arial" w:cs="Arial" w:eastAsia="Arial" w:hAnsi="Arial"/>
          <w:b/>
          <w:bCs/>
          <w:color w:val="1A1A1A"/>
          <w:sz w:val="26"/>
          <w:szCs w:val="26"/>
        </w:rPr>
        <w:t xml:space="preserve">4.2 Graph</w:t>
      </w:r>
    </w:p>
    <w:p>
      <w:pPr>
        <w:spacing w:after="120"/>
      </w:pPr>
      <w:r>
        <w:rPr>
          <w:rFonts w:ascii="Arial" w:cs="Arial" w:eastAsia="Arial" w:hAnsi="Arial"/>
          <w:color w:val="1A1A1A"/>
          <w:sz w:val="22"/>
          <w:szCs w:val="22"/>
        </w:rPr>
        <w:t xml:space="preserve">plan, then discount and payment in parallel, then combine, then guardrail, then write-back. Each node returns decision, confidence, thought, and cited rules.</w:t>
      </w:r>
    </w:p>
    <w:p>
      <w:pPr>
        <w:pStyle w:val="Heading2"/>
        <w:spacing w:after="100" w:before="280"/>
      </w:pPr>
      <w:r>
        <w:rPr>
          <w:rFonts w:ascii="Arial" w:cs="Arial" w:eastAsia="Arial" w:hAnsi="Arial"/>
          <w:b/>
          <w:bCs/>
          <w:color w:val="1A1A1A"/>
          <w:sz w:val="26"/>
          <w:szCs w:val="26"/>
        </w:rPr>
        <w:t xml:space="preserve">4.3 Orchestrator rules</w:t>
      </w:r>
    </w:p>
    <w:p>
      <w:pPr>
        <w:pStyle w:val="ListParagraph"/>
        <w:numPr>
          <w:ilvl w:val="0"/>
          <w:numId w:val="2"/>
        </w:numPr>
        <w:spacing w:after="60"/>
      </w:pPr>
      <w:r>
        <w:rPr>
          <w:rFonts w:ascii="Arial" w:cs="Arial" w:eastAsia="Arial" w:hAnsi="Arial"/>
          <w:color w:val="1A1A1A"/>
          <w:sz w:val="22"/>
          <w:szCs w:val="22"/>
        </w:rPr>
        <w:t xml:space="preserve">R1. Any Reject, and respect-reject is on: overall Reject. Confidence is the lower specialist score.</w:t>
      </w:r>
    </w:p>
    <w:p>
      <w:pPr>
        <w:pStyle w:val="ListParagraph"/>
        <w:numPr>
          <w:ilvl w:val="0"/>
          <w:numId w:val="2"/>
        </w:numPr>
        <w:spacing w:after="60"/>
      </w:pPr>
      <w:r>
        <w:rPr>
          <w:rFonts w:ascii="Arial" w:cs="Arial" w:eastAsia="Arial" w:hAnsi="Arial"/>
          <w:color w:val="1A1A1A"/>
          <w:sz w:val="22"/>
          <w:szCs w:val="22"/>
        </w:rPr>
        <w:t xml:space="preserve">R1b. A specialist rejected, but the orchestrator is set to escalate instead of hard-reject.</w:t>
      </w:r>
    </w:p>
    <w:p>
      <w:pPr>
        <w:pStyle w:val="ListParagraph"/>
        <w:numPr>
          <w:ilvl w:val="0"/>
          <w:numId w:val="2"/>
        </w:numPr>
        <w:spacing w:after="60"/>
      </w:pPr>
      <w:r>
        <w:rPr>
          <w:rFonts w:ascii="Arial" w:cs="Arial" w:eastAsia="Arial" w:hAnsi="Arial"/>
          <w:color w:val="1A1A1A"/>
          <w:sz w:val="22"/>
          <w:szCs w:val="22"/>
        </w:rPr>
        <w:t xml:space="preserve">R2. Any Escalate, no Reject: overall Escalate. Confidence is the lower score.</w:t>
      </w:r>
    </w:p>
    <w:p>
      <w:pPr>
        <w:pStyle w:val="ListParagraph"/>
        <w:numPr>
          <w:ilvl w:val="0"/>
          <w:numId w:val="2"/>
        </w:numPr>
        <w:spacing w:after="60"/>
      </w:pPr>
      <w:r>
        <w:rPr>
          <w:rFonts w:ascii="Arial" w:cs="Arial" w:eastAsia="Arial" w:hAnsi="Arial"/>
          <w:color w:val="1A1A1A"/>
          <w:sz w:val="22"/>
          <w:szCs w:val="22"/>
        </w:rPr>
        <w:t xml:space="preserve">R3. Both Approve and average confidence clears the threshold: Approve.</w:t>
      </w:r>
    </w:p>
    <w:p>
      <w:pPr>
        <w:pStyle w:val="ListParagraph"/>
        <w:numPr>
          <w:ilvl w:val="0"/>
          <w:numId w:val="2"/>
        </w:numPr>
        <w:spacing w:after="60"/>
      </w:pPr>
      <w:r>
        <w:rPr>
          <w:rFonts w:ascii="Arial" w:cs="Arial" w:eastAsia="Arial" w:hAnsi="Arial"/>
          <w:color w:val="1A1A1A"/>
          <w:sz w:val="22"/>
          <w:szCs w:val="22"/>
        </w:rPr>
        <w:t xml:space="preserve">R4. Both Approve but average is under the threshold: Escalate.</w:t>
      </w:r>
    </w:p>
    <w:p>
      <w:pPr>
        <w:pStyle w:val="ListParagraph"/>
        <w:numPr>
          <w:ilvl w:val="0"/>
          <w:numId w:val="2"/>
        </w:numPr>
        <w:spacing w:after="60"/>
      </w:pPr>
      <w:r>
        <w:rPr>
          <w:rFonts w:ascii="Arial" w:cs="Arial" w:eastAsia="Arial" w:hAnsi="Arial"/>
          <w:color w:val="1A1A1A"/>
          <w:sz w:val="22"/>
          <w:szCs w:val="22"/>
        </w:rPr>
        <w:t xml:space="preserve">G-OUT. No citation forces a hold. A note cannot produce Approve.</w:t>
      </w:r>
    </w:p>
    <w:p>
      <w:pPr>
        <w:pStyle w:val="Heading1"/>
        <w:spacing w:after="160" w:before="360"/>
      </w:pPr>
      <w:r>
        <w:rPr>
          <w:rFonts w:ascii="Arial" w:cs="Arial" w:eastAsia="Arial" w:hAnsi="Arial"/>
          <w:b/>
          <w:bCs/>
          <w:color w:val="158158"/>
          <w:sz w:val="32"/>
          <w:szCs w:val="32"/>
        </w:rPr>
        <w:t xml:space="preserve">5. Policy books</w:t>
      </w:r>
    </w:p>
    <w:p>
      <w:pPr>
        <w:spacing w:after="120"/>
      </w:pPr>
      <w:r>
        <w:rPr>
          <w:rFonts w:ascii="Arial" w:cs="Arial" w:eastAsia="Arial" w:hAnsi="Arial"/>
          <w:color w:val="1A1A1A"/>
          <w:sz w:val="22"/>
          <w:szCs w:val="22"/>
        </w:rPr>
        <w:t xml:space="preserve">Two versioned books. Owner, version, source, and status (live or archived). Agents cite the live version. Switching packs does not rewrite closed decisions. Helio and Northstar are two packs in the console.</w:t>
      </w:r>
    </w:p>
    <w:p>
      <w:pPr>
        <w:pStyle w:val="Heading2"/>
        <w:spacing w:after="100" w:before="280"/>
      </w:pPr>
      <w:r>
        <w:rPr>
          <w:rFonts w:ascii="Arial" w:cs="Arial" w:eastAsia="Arial" w:hAnsi="Arial"/>
          <w:b/>
          <w:bCs/>
          <w:color w:val="1A1A1A"/>
          <w:sz w:val="26"/>
          <w:szCs w:val="26"/>
        </w:rPr>
        <w:t xml:space="preserve">5.1 Discount and Pricing, DISC-POL-2026-01, owner Revenue Operations, 2026.Q3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1760"/>
      </w:tblGrid>
      <w:tr>
        <w:tc>
          <w:tcPr>
            <w:tcW w:type="dxa" w:w="180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Segment</w:t>
            </w:r>
          </w:p>
        </w:tc>
        <w:tc>
          <w:tcPr>
            <w:tcW w:type="dxa" w:w="180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New std / exc</w:t>
            </w:r>
          </w:p>
        </w:tc>
        <w:tc>
          <w:tcPr>
            <w:tcW w:type="dxa" w:w="200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Renewal</w:t>
            </w:r>
          </w:p>
        </w:tc>
        <w:tc>
          <w:tcPr>
            <w:tcW w:type="dxa" w:w="200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Expansion</w:t>
            </w:r>
          </w:p>
        </w:tc>
        <w:tc>
          <w:tcPr>
            <w:tcW w:type="dxa" w:w="176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Add-on</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Enterprise</w:t>
            </w:r>
          </w:p>
        </w:tc>
        <w:tc>
          <w:tcPr>
            <w:tcW w:type="dxa" w:w="18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25 / 32</w:t>
            </w:r>
          </w:p>
        </w:tc>
        <w:tc>
          <w:tcPr>
            <w:tcW w:type="dxa" w:w="20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22 / 28, jump 5</w:t>
            </w:r>
          </w:p>
        </w:tc>
        <w:tc>
          <w:tcPr>
            <w:tcW w:type="dxa" w:w="20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28 / 35, jump 8</w:t>
            </w:r>
          </w:p>
        </w:tc>
        <w:tc>
          <w:tcPr>
            <w:tcW w:type="dxa" w:w="17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30 / 35</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Mid-Market</w:t>
            </w:r>
          </w:p>
        </w:tc>
        <w:tc>
          <w:tcPr>
            <w:tcW w:type="dxa" w:w="18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20 / 28</w:t>
            </w:r>
          </w:p>
        </w:tc>
        <w:tc>
          <w:tcPr>
            <w:tcW w:type="dxa" w:w="20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18 / 25, jump 4</w:t>
            </w:r>
          </w:p>
        </w:tc>
        <w:tc>
          <w:tcPr>
            <w:tcW w:type="dxa" w:w="20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25 / 30, jump 6</w:t>
            </w:r>
          </w:p>
        </w:tc>
        <w:tc>
          <w:tcPr>
            <w:tcW w:type="dxa" w:w="17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25 / 30</w:t>
            </w:r>
          </w:p>
        </w:tc>
      </w:tr>
      <w:tr>
        <w:tc>
          <w:tcPr>
            <w:tcW w:type="dxa" w:w="18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SMB</w:t>
            </w:r>
          </w:p>
        </w:tc>
        <w:tc>
          <w:tcPr>
            <w:tcW w:type="dxa" w:w="18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15 / 22</w:t>
            </w:r>
          </w:p>
        </w:tc>
        <w:tc>
          <w:tcPr>
            <w:tcW w:type="dxa" w:w="20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12 / 18, jump 3</w:t>
            </w:r>
          </w:p>
        </w:tc>
        <w:tc>
          <w:tcPr>
            <w:tcW w:type="dxa" w:w="20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18 / 22, jump 5</w:t>
            </w:r>
          </w:p>
        </w:tc>
        <w:tc>
          <w:tcPr>
            <w:tcW w:type="dxa" w:w="17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20 / 25</w:t>
            </w:r>
          </w:p>
        </w:tc>
      </w:tr>
    </w:tbl>
    <w:p>
      <w:pPr>
        <w:spacing w:after="80"/>
      </w:pPr>
    </w:p>
    <w:p>
      <w:pPr>
        <w:pStyle w:val="ListParagraph"/>
        <w:numPr>
          <w:ilvl w:val="0"/>
          <w:numId w:val="2"/>
        </w:numPr>
        <w:spacing w:after="60"/>
      </w:pPr>
      <w:r>
        <w:rPr>
          <w:rFonts w:ascii="Arial" w:cs="Arial" w:eastAsia="Arial" w:hAnsi="Arial"/>
          <w:color w:val="1A1A1A"/>
          <w:sz w:val="22"/>
          <w:szCs w:val="22"/>
        </w:rPr>
        <w:t xml:space="preserve">SR-01. Discount within 2 points of the standard ceiling, dated in the last 5 days of a fiscal quarter, is flagged.</w:t>
      </w:r>
    </w:p>
    <w:p>
      <w:pPr>
        <w:pStyle w:val="ListParagraph"/>
        <w:numPr>
          <w:ilvl w:val="0"/>
          <w:numId w:val="2"/>
        </w:numPr>
        <w:spacing w:after="60"/>
      </w:pPr>
      <w:r>
        <w:rPr>
          <w:rFonts w:ascii="Arial" w:cs="Arial" w:eastAsia="Arial" w:hAnsi="Arial"/>
          <w:color w:val="1A1A1A"/>
          <w:sz w:val="22"/>
          <w:szCs w:val="22"/>
        </w:rPr>
        <w:t xml:space="preserve">SR-02. A jump above the allowed step versus the prior contract goes to Deal Desk.</w:t>
      </w:r>
    </w:p>
    <w:p>
      <w:pPr>
        <w:pStyle w:val="ListParagraph"/>
        <w:numPr>
          <w:ilvl w:val="0"/>
          <w:numId w:val="2"/>
        </w:numPr>
        <w:spacing w:after="60"/>
      </w:pPr>
      <w:r>
        <w:rPr>
          <w:rFonts w:ascii="Arial" w:cs="Arial" w:eastAsia="Arial" w:hAnsi="Arial"/>
          <w:color w:val="1A1A1A"/>
          <w:sz w:val="22"/>
          <w:szCs w:val="22"/>
        </w:rPr>
        <w:t xml:space="preserve">SR-03. Under $50k net and above 25% off is escalated.</w:t>
      </w:r>
    </w:p>
    <w:p>
      <w:pPr>
        <w:pStyle w:val="ListParagraph"/>
        <w:numPr>
          <w:ilvl w:val="0"/>
          <w:numId w:val="2"/>
        </w:numPr>
        <w:spacing w:after="60"/>
      </w:pPr>
      <w:r>
        <w:rPr>
          <w:rFonts w:ascii="Arial" w:cs="Arial" w:eastAsia="Arial" w:hAnsi="Arial"/>
          <w:color w:val="1A1A1A"/>
          <w:sz w:val="22"/>
          <w:szCs w:val="22"/>
        </w:rPr>
        <w:t xml:space="preserve">CR-02. Multi-year prepay adds the configured credit (default 5 points) to both ceilings and the allowed jump.</w:t>
      </w:r>
    </w:p>
    <w:p>
      <w:pPr>
        <w:pStyle w:val="Heading2"/>
        <w:spacing w:after="100" w:before="280"/>
      </w:pPr>
      <w:r>
        <w:rPr>
          <w:rFonts w:ascii="Arial" w:cs="Arial" w:eastAsia="Arial" w:hAnsi="Arial"/>
          <w:b/>
          <w:bCs/>
          <w:color w:val="1A1A1A"/>
          <w:sz w:val="26"/>
          <w:szCs w:val="26"/>
        </w:rPr>
        <w:t xml:space="preserve">5.2 Payment Terms and Billing, PAY-POL-2026-01, owner Revenue Operations and Finance</w:t>
      </w:r>
    </w:p>
    <w:p>
      <w:pPr>
        <w:pStyle w:val="ListParagraph"/>
        <w:numPr>
          <w:ilvl w:val="0"/>
          <w:numId w:val="2"/>
        </w:numPr>
        <w:spacing w:after="60"/>
      </w:pPr>
      <w:r>
        <w:rPr>
          <w:rFonts w:ascii="Arial" w:cs="Arial" w:eastAsia="Arial" w:hAnsi="Arial"/>
          <w:color w:val="1A1A1A"/>
          <w:sz w:val="22"/>
          <w:szCs w:val="22"/>
        </w:rPr>
        <w:t xml:space="preserve">Terms: Due on Receipt and Net-30 preferred. Net-45 acceptable. Net-60 elevated. Net-90 high-risk.</w:t>
      </w:r>
    </w:p>
    <w:p>
      <w:pPr>
        <w:pStyle w:val="ListParagraph"/>
        <w:numPr>
          <w:ilvl w:val="0"/>
          <w:numId w:val="2"/>
        </w:numPr>
        <w:spacing w:after="60"/>
      </w:pPr>
      <w:r>
        <w:rPr>
          <w:rFonts w:ascii="Arial" w:cs="Arial" w:eastAsia="Arial" w:hAnsi="Arial"/>
          <w:color w:val="1A1A1A"/>
          <w:sz w:val="22"/>
          <w:szCs w:val="22"/>
        </w:rPr>
        <w:t xml:space="preserve">Billing: Annual and Multi-Year Prepay preferred. Quarterly acceptable. Monthly high-risk.</w:t>
      </w:r>
    </w:p>
    <w:p>
      <w:pPr>
        <w:pStyle w:val="ListParagraph"/>
        <w:numPr>
          <w:ilvl w:val="0"/>
          <w:numId w:val="2"/>
        </w:numPr>
        <w:spacing w:after="60"/>
      </w:pPr>
      <w:r>
        <w:rPr>
          <w:rFonts w:ascii="Arial" w:cs="Arial" w:eastAsia="Arial" w:hAnsi="Arial"/>
          <w:color w:val="1A1A1A"/>
          <w:sz w:val="22"/>
          <w:szCs w:val="22"/>
        </w:rPr>
        <w:t xml:space="preserve">CR-01. A longer payment term than the prior contract must be escalated.</w:t>
      </w:r>
    </w:p>
    <w:p>
      <w:pPr>
        <w:pStyle w:val="ListParagraph"/>
        <w:numPr>
          <w:ilvl w:val="0"/>
          <w:numId w:val="2"/>
        </w:numPr>
        <w:spacing w:after="60"/>
      </w:pPr>
      <w:r>
        <w:rPr>
          <w:rFonts w:ascii="Arial" w:cs="Arial" w:eastAsia="Arial" w:hAnsi="Arial"/>
          <w:color w:val="1A1A1A"/>
          <w:sz w:val="22"/>
          <w:szCs w:val="22"/>
        </w:rPr>
        <w:t xml:space="preserve">CR-03. Above $200k net with high-risk terms needs VP Finance.</w:t>
      </w:r>
    </w:p>
    <w:p>
      <w:pPr>
        <w:pStyle w:val="Heading2"/>
        <w:spacing w:after="100" w:before="280"/>
      </w:pPr>
      <w:r>
        <w:rPr>
          <w:rFonts w:ascii="Arial" w:cs="Arial" w:eastAsia="Arial" w:hAnsi="Arial"/>
          <w:b/>
          <w:bCs/>
          <w:color w:val="1A1A1A"/>
          <w:sz w:val="26"/>
          <w:szCs w:val="26"/>
        </w:rPr>
        <w:t xml:space="preserve">5.3 Onboarding</w:t>
      </w:r>
    </w:p>
    <w:p>
      <w:pPr>
        <w:spacing w:after="120"/>
      </w:pPr>
      <w:r>
        <w:rPr>
          <w:rFonts w:ascii="Arial" w:cs="Arial" w:eastAsia="Arial" w:hAnsi="Arial"/>
          <w:color w:val="1A1A1A"/>
          <w:sz w:val="22"/>
          <w:szCs w:val="22"/>
        </w:rPr>
        <w:t xml:space="preserve">Upload a PDF or Word file, or paste a Confluence page. The extractor proposes structured bands and buckets. RevOps reviews and confirms. Confirmed becomes the live version. Source kind is seed, upload, paste, or edit. Extractor is seed, grok, or local.</w:t>
      </w:r>
    </w:p>
    <w:p>
      <w:pPr>
        <w:pStyle w:val="Heading1"/>
        <w:spacing w:after="160" w:before="360"/>
      </w:pPr>
      <w:r>
        <w:rPr>
          <w:rFonts w:ascii="Arial" w:cs="Arial" w:eastAsia="Arial" w:hAnsi="Arial"/>
          <w:b/>
          <w:bCs/>
          <w:color w:val="158158"/>
          <w:sz w:val="32"/>
          <w:szCs w:val="32"/>
        </w:rPr>
        <w:t xml:space="preserve">6. Confidence</w:t>
      </w:r>
    </w:p>
    <w:p>
      <w:pPr>
        <w:spacing w:after="120"/>
      </w:pPr>
      <w:r>
        <w:rPr>
          <w:rFonts w:ascii="Arial" w:cs="Arial" w:eastAsia="Arial" w:hAnsi="Arial"/>
          <w:color w:val="1A1A1A"/>
          <w:sz w:val="22"/>
          <w:szCs w:val="22"/>
        </w:rPr>
        <w:t xml:space="preserve">The score is arithmetic, printed under the label. It is not a label.</w:t>
      </w:r>
    </w:p>
    <w:p>
      <w:pPr>
        <w:pStyle w:val="Heading2"/>
        <w:spacing w:after="100" w:before="280"/>
      </w:pPr>
      <w:r>
        <w:rPr>
          <w:rFonts w:ascii="Arial" w:cs="Arial" w:eastAsia="Arial" w:hAnsi="Arial"/>
          <w:b/>
          <w:bCs/>
          <w:color w:val="1A1A1A"/>
          <w:sz w:val="26"/>
          <w:szCs w:val="26"/>
        </w:rPr>
        <w:t xml:space="preserve">6.1 Discount agent</w:t>
      </w:r>
    </w:p>
    <w:p>
      <w:pPr>
        <w:spacing w:after="120"/>
      </w:pPr>
      <w:r>
        <w:rPr>
          <w:rFonts w:ascii="Arial" w:cs="Arial" w:eastAsia="Arial" w:hAnsi="Arial"/>
          <w:color w:val="1A1A1A"/>
          <w:sz w:val="22"/>
          <w:szCs w:val="22"/>
        </w:rPr>
        <w:t xml:space="preserve">Starts at 88. Subtract 18 if over the standard ceiling, 45 if past the exception ceiling, 15 for a jump bigger than the allowed step, 12 over the volume tier, 15 for a small deal above 25%, 10 in the quarter-end window. Clamp 5 to 97. A clean approve cannot fall below 84.</w:t>
      </w:r>
    </w:p>
    <w:p>
      <w:pPr>
        <w:pStyle w:val="Heading2"/>
        <w:spacing w:after="100" w:before="280"/>
      </w:pPr>
      <w:r>
        <w:rPr>
          <w:rFonts w:ascii="Arial" w:cs="Arial" w:eastAsia="Arial" w:hAnsi="Arial"/>
          <w:b/>
          <w:bCs/>
          <w:color w:val="1A1A1A"/>
          <w:sz w:val="26"/>
          <w:szCs w:val="26"/>
        </w:rPr>
        <w:t xml:space="preserve">6.2 Payment agent</w:t>
      </w:r>
    </w:p>
    <w:p>
      <w:pPr>
        <w:spacing w:after="120"/>
      </w:pPr>
      <w:r>
        <w:rPr>
          <w:rFonts w:ascii="Arial" w:cs="Arial" w:eastAsia="Arial" w:hAnsi="Arial"/>
          <w:color w:val="1A1A1A"/>
          <w:sz w:val="22"/>
          <w:szCs w:val="22"/>
        </w:rPr>
        <w:t xml:space="preserve">Starts at 90. Subtract 8 for acceptable terms, 22 elevated, 40 high-risk, 5 for acceptable billing, 20 for high-risk billing, 18 if worse than last year, 12 for a large deal with weak terms. Add 6 for multi-year prepay. Same clamp. A clean approve cannot fall below 85.</w:t>
      </w:r>
    </w:p>
    <w:p>
      <w:pPr>
        <w:pStyle w:val="Heading2"/>
        <w:spacing w:after="100" w:before="280"/>
      </w:pPr>
      <w:r>
        <w:rPr>
          <w:rFonts w:ascii="Arial" w:cs="Arial" w:eastAsia="Arial" w:hAnsi="Arial"/>
          <w:b/>
          <w:bCs/>
          <w:color w:val="1A1A1A"/>
          <w:sz w:val="26"/>
          <w:szCs w:val="26"/>
        </w:rPr>
        <w:t xml:space="preserve">6.3 Orchestrator</w:t>
      </w:r>
    </w:p>
    <w:p>
      <w:pPr>
        <w:spacing w:after="120"/>
      </w:pPr>
      <w:r>
        <w:rPr>
          <w:rFonts w:ascii="Arial" w:cs="Arial" w:eastAsia="Arial" w:hAnsi="Arial"/>
          <w:color w:val="1A1A1A"/>
          <w:sz w:val="22"/>
          <w:szCs w:val="22"/>
        </w:rPr>
        <w:t xml:space="preserve">If either agent holds or rejects, take the lower score. If both approve, floor of the average. Northwind is floor of (88 + 90) / 2 = 89. A note that tried to force Approve caps the score under the threshold.</w:t>
      </w:r>
    </w:p>
    <w:p>
      <w:pPr>
        <w:spacing w:after="120"/>
      </w:pPr>
      <w:r>
        <w:rPr>
          <w:rFonts w:ascii="Arial" w:cs="Arial" w:eastAsia="Arial" w:hAnsi="Arial"/>
          <w:color w:val="1A1A1A"/>
          <w:sz w:val="22"/>
          <w:szCs w:val="22"/>
        </w:rPr>
        <w:t xml:space="preserve">Default threshold is 75. Configurable. Prepay credit default is 5 points. Respect-reject default is on.</w:t>
      </w:r>
    </w:p>
    <w:p>
      <w:pPr>
        <w:pStyle w:val="Heading1"/>
        <w:spacing w:after="160" w:before="360"/>
      </w:pPr>
      <w:r>
        <w:rPr>
          <w:rFonts w:ascii="Arial" w:cs="Arial" w:eastAsia="Arial" w:hAnsi="Arial"/>
          <w:b/>
          <w:bCs/>
          <w:color w:val="158158"/>
          <w:sz w:val="32"/>
          <w:szCs w:val="32"/>
        </w:rPr>
        <w:t xml:space="preserve">7. Assignment</w:t>
      </w:r>
    </w:p>
    <w:p>
      <w:pPr>
        <w:spacing w:after="120"/>
      </w:pPr>
      <w:r>
        <w:rPr>
          <w:rFonts w:ascii="Arial" w:cs="Arial" w:eastAsia="Arial" w:hAnsi="Arial"/>
          <w:color w:val="1A1A1A"/>
          <w:sz w:val="22"/>
          <w:szCs w:val="22"/>
        </w:rPr>
        <w:t xml:space="preserve">Escalate and Reject assign a person, a queue, an SLA, a reason, and an external id. Approve assigns no one. In production the external id resolves to a Salesforce queue, a DealHub group, or a CPQ approval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c>
          <w:tcPr>
            <w:tcW w:type="dxa" w:w="220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Rule</w:t>
            </w:r>
          </w:p>
        </w:tc>
        <w:tc>
          <w:tcPr>
            <w:tcW w:type="dxa" w:w="280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Assignee</w:t>
            </w:r>
          </w:p>
        </w:tc>
        <w:tc>
          <w:tcPr>
            <w:tcW w:type="dxa" w:w="120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SLA</w:t>
            </w:r>
          </w:p>
        </w:tc>
        <w:tc>
          <w:tcPr>
            <w:tcW w:type="dxa" w:w="316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External id</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Mild exception</w:t>
            </w:r>
          </w:p>
        </w:tc>
        <w:tc>
          <w:tcPr>
            <w:tcW w:type="dxa" w:w="28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Deal Desk Manager</w:t>
            </w:r>
          </w:p>
        </w:tc>
        <w:tc>
          <w:tcPr>
            <w:tcW w:type="dxa" w:w="12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24h</w:t>
            </w:r>
          </w:p>
        </w:tc>
        <w:tc>
          <w:tcPr>
            <w:tcW w:type="dxa" w:w="31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SFDC:Deal_Desk_Manager</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Material</w:t>
            </w:r>
          </w:p>
        </w:tc>
        <w:tc>
          <w:tcPr>
            <w:tcW w:type="dxa" w:w="28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RevOps Manager, or Finance if cash</w:t>
            </w:r>
          </w:p>
        </w:tc>
        <w:tc>
          <w:tcPr>
            <w:tcW w:type="dxa" w:w="12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24h</w:t>
            </w:r>
          </w:p>
        </w:tc>
        <w:tc>
          <w:tcPr>
            <w:tcW w:type="dxa" w:w="31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SFDC:RevOps_Manager / SFDC:Finance</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Severe</w:t>
            </w:r>
          </w:p>
        </w:tc>
        <w:tc>
          <w:tcPr>
            <w:tcW w:type="dxa" w:w="28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VP Sales and Finance</w:t>
            </w:r>
          </w:p>
        </w:tc>
        <w:tc>
          <w:tcPr>
            <w:tcW w:type="dxa" w:w="12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24h</w:t>
            </w:r>
          </w:p>
        </w:tc>
        <w:tc>
          <w:tcPr>
            <w:tcW w:type="dxa" w:w="31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CPQ:VP_Sales_Finance</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Gaming / quarter-end</w:t>
            </w:r>
          </w:p>
        </w:tc>
        <w:tc>
          <w:tcPr>
            <w:tcW w:type="dxa" w:w="28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Deal Desk Lead</w:t>
            </w:r>
          </w:p>
        </w:tc>
        <w:tc>
          <w:tcPr>
            <w:tcW w:type="dxa" w:w="12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12h</w:t>
            </w:r>
          </w:p>
        </w:tc>
        <w:tc>
          <w:tcPr>
            <w:tcW w:type="dxa" w:w="31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SFDC:Deal_Desk_Lead</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Violation</w:t>
            </w:r>
          </w:p>
        </w:tc>
        <w:tc>
          <w:tcPr>
            <w:tcW w:type="dxa" w:w="28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VP Sales, or VP Finance if cash</w:t>
            </w:r>
          </w:p>
        </w:tc>
        <w:tc>
          <w:tcPr>
            <w:tcW w:type="dxa" w:w="12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24h</w:t>
            </w:r>
          </w:p>
        </w:tc>
        <w:tc>
          <w:tcPr>
            <w:tcW w:type="dxa" w:w="31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CPQ:VP_Sales / CPQ:VP_Finance</w:t>
            </w:r>
          </w:p>
        </w:tc>
      </w:tr>
    </w:tbl>
    <w:p>
      <w:pPr>
        <w:spacing w:after="120"/>
      </w:pPr>
    </w:p>
    <w:p>
      <w:pPr>
        <w:spacing w:after="120"/>
      </w:pPr>
      <w:r>
        <w:rPr>
          <w:rFonts w:ascii="Arial" w:cs="Arial" w:eastAsia="Arial" w:hAnsi="Arial"/>
          <w:color w:val="1A1A1A"/>
          <w:sz w:val="22"/>
          <w:szCs w:val="22"/>
        </w:rPr>
        <w:t xml:space="preserve">The UI shows: Assigned to, SLA, Reason. The person can approve, reject, or return.</w:t>
      </w:r>
    </w:p>
    <w:p>
      <w:pPr>
        <w:pStyle w:val="Heading1"/>
        <w:spacing w:after="160" w:before="360"/>
      </w:pPr>
      <w:r>
        <w:rPr>
          <w:rFonts w:ascii="Arial" w:cs="Arial" w:eastAsia="Arial" w:hAnsi="Arial"/>
          <w:b/>
          <w:bCs/>
          <w:color w:val="158158"/>
          <w:sz w:val="32"/>
          <w:szCs w:val="32"/>
        </w:rPr>
        <w:t xml:space="preserve">8. Guardrails</w:t>
      </w:r>
    </w:p>
    <w:p>
      <w:pPr>
        <w:pStyle w:val="Heading2"/>
        <w:spacing w:after="100" w:before="280"/>
      </w:pPr>
      <w:r>
        <w:rPr>
          <w:rFonts w:ascii="Arial" w:cs="Arial" w:eastAsia="Arial" w:hAnsi="Arial"/>
          <w:b/>
          <w:bCs/>
          <w:color w:val="1A1A1A"/>
          <w:sz w:val="26"/>
          <w:szCs w:val="26"/>
        </w:rPr>
        <w:t xml:space="preserve">8.1 Input</w:t>
      </w:r>
    </w:p>
    <w:p>
      <w:pPr>
        <w:spacing w:after="120"/>
      </w:pPr>
      <w:r>
        <w:rPr>
          <w:rFonts w:ascii="Arial" w:cs="Arial" w:eastAsia="Arial" w:hAnsi="Arial"/>
          <w:color w:val="1A1A1A"/>
          <w:sz w:val="22"/>
          <w:szCs w:val="22"/>
        </w:rPr>
        <w:t xml:space="preserve">Notes are scanned and not obeyed. Detected patterns include: ignore the book, you are now, admin mode, do not escalate, mark this quote approved, override the policy, disregard the book, and a line that starts with system:.</w:t>
      </w:r>
    </w:p>
    <w:p>
      <w:pPr>
        <w:pStyle w:val="Heading2"/>
        <w:spacing w:after="100" w:before="280"/>
      </w:pPr>
      <w:r>
        <w:rPr>
          <w:rFonts w:ascii="Arial" w:cs="Arial" w:eastAsia="Arial" w:hAnsi="Arial"/>
          <w:b/>
          <w:bCs/>
          <w:color w:val="1A1A1A"/>
          <w:sz w:val="26"/>
          <w:szCs w:val="26"/>
        </w:rPr>
        <w:t xml:space="preserve">8.2 Output</w:t>
      </w:r>
    </w:p>
    <w:p>
      <w:pPr>
        <w:pStyle w:val="ListParagraph"/>
        <w:numPr>
          <w:ilvl w:val="0"/>
          <w:numId w:val="2"/>
        </w:numPr>
        <w:spacing w:after="60"/>
      </w:pPr>
      <w:r>
        <w:rPr>
          <w:rFonts w:ascii="Arial" w:cs="Arial" w:eastAsia="Arial" w:hAnsi="Arial"/>
          <w:color w:val="1A1A1A"/>
          <w:sz w:val="22"/>
          <w:szCs w:val="22"/>
        </w:rPr>
        <w:t xml:space="preserve">If neither book cited a rule, the quote is held.</w:t>
      </w:r>
    </w:p>
    <w:p>
      <w:pPr>
        <w:pStyle w:val="ListParagraph"/>
        <w:numPr>
          <w:ilvl w:val="0"/>
          <w:numId w:val="2"/>
        </w:numPr>
        <w:spacing w:after="60"/>
      </w:pPr>
      <w:r>
        <w:rPr>
          <w:rFonts w:ascii="Arial" w:cs="Arial" w:eastAsia="Arial" w:hAnsi="Arial"/>
          <w:color w:val="1A1A1A"/>
          <w:sz w:val="22"/>
          <w:szCs w:val="22"/>
        </w:rPr>
        <w:t xml:space="preserve">If a note attack is present and the books would have approved, the label is forced to Escalate and the score is capped under the threshold.</w:t>
      </w:r>
    </w:p>
    <w:p>
      <w:pPr>
        <w:pStyle w:val="ListParagraph"/>
        <w:numPr>
          <w:ilvl w:val="0"/>
          <w:numId w:val="2"/>
        </w:numPr>
        <w:spacing w:after="60"/>
      </w:pPr>
      <w:r>
        <w:rPr>
          <w:rFonts w:ascii="Arial" w:cs="Arial" w:eastAsia="Arial" w:hAnsi="Arial"/>
          <w:color w:val="1A1A1A"/>
          <w:sz w:val="22"/>
          <w:szCs w:val="22"/>
        </w:rPr>
        <w:t xml:space="preserve">A note cannot produce a label looser than the books.</w:t>
      </w:r>
    </w:p>
    <w:p>
      <w:pPr>
        <w:pStyle w:val="Heading1"/>
        <w:spacing w:after="160" w:before="360"/>
      </w:pPr>
      <w:r>
        <w:rPr>
          <w:rFonts w:ascii="Arial" w:cs="Arial" w:eastAsia="Arial" w:hAnsi="Arial"/>
          <w:b/>
          <w:bCs/>
          <w:color w:val="158158"/>
          <w:sz w:val="32"/>
          <w:szCs w:val="32"/>
        </w:rPr>
        <w:t xml:space="preserve">9. What the agents open</w:t>
      </w:r>
    </w:p>
    <w:p>
      <w:pPr>
        <w:spacing w:after="120"/>
      </w:pPr>
      <w:r>
        <w:rPr>
          <w:rFonts w:ascii="Arial" w:cs="Arial" w:eastAsia="Arial" w:hAnsi="Arial"/>
          <w:color w:val="1A1A1A"/>
          <w:sz w:val="22"/>
          <w:szCs w:val="22"/>
        </w:rPr>
        <w:t xml:space="preserve">Renewal file: closed discount years, terms, billing, ACV, credit band, on-time rate, DSO, open and overdue receivables, multi-year contracts. Northwind stepped 15, 16, 17, credit Strong, $0 overdue. Harbor has $18,400 past due. Sable is a 36-month prepay against a 12-month history.</w:t>
      </w:r>
    </w:p>
    <w:p>
      <w:pPr>
        <w:spacing w:after="120"/>
      </w:pPr>
      <w:r>
        <w:rPr>
          <w:rFonts w:ascii="Arial" w:cs="Arial" w:eastAsia="Arial" w:hAnsi="Arial"/>
          <w:color w:val="1A1A1A"/>
          <w:sz w:val="22"/>
          <w:szCs w:val="22"/>
        </w:rPr>
        <w:t xml:space="preserve">New-business file: no installed discount and no invoices. Recent peer wins in the segment, then the new-business band. Lumen sits with peers at 19 to 22. Copperline and Kite sit far outside.</w:t>
      </w:r>
    </w:p>
    <w:p>
      <w:pPr>
        <w:spacing w:after="120"/>
      </w:pPr>
      <w:r>
        <w:rPr>
          <w:rFonts w:ascii="Arial" w:cs="Arial" w:eastAsia="Arial" w:hAnsi="Arial"/>
          <w:color w:val="1A1A1A"/>
          <w:sz w:val="22"/>
          <w:szCs w:val="22"/>
        </w:rPr>
        <w:t xml:space="preserve">Quote notes are visible to people. They are not a data source for the label.</w:t>
      </w:r>
    </w:p>
    <w:p>
      <w:pPr>
        <w:pStyle w:val="Heading1"/>
        <w:spacing w:after="160" w:before="360"/>
      </w:pPr>
      <w:r>
        <w:rPr>
          <w:rFonts w:ascii="Arial" w:cs="Arial" w:eastAsia="Arial" w:hAnsi="Arial"/>
          <w:b/>
          <w:bCs/>
          <w:color w:val="158158"/>
          <w:sz w:val="32"/>
          <w:szCs w:val="32"/>
        </w:rPr>
        <w:t xml:space="preserve">10. Golden set</w:t>
      </w:r>
    </w:p>
    <w:p>
      <w:pPr>
        <w:spacing w:after="120"/>
      </w:pPr>
      <w:r>
        <w:rPr>
          <w:rFonts w:ascii="Arial" w:cs="Arial" w:eastAsia="Arial" w:hAnsi="Arial"/>
          <w:color w:val="1A1A1A"/>
          <w:sz w:val="22"/>
          <w:szCs w:val="22"/>
        </w:rPr>
        <w:t xml:space="preserve">Nine labeled quotes. The harness checks label, citation, note-attack ignored, threshold, and assignment. 9 of 9 is the release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400"/>
        <w:gridCol w:w="1400"/>
        <w:gridCol w:w="3860"/>
      </w:tblGrid>
      <w:tr>
        <w:tc>
          <w:tcPr>
            <w:tcW w:type="dxa" w:w="110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Id</w:t>
            </w:r>
          </w:p>
        </w:tc>
        <w:tc>
          <w:tcPr>
            <w:tcW w:type="dxa" w:w="160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Account</w:t>
            </w:r>
          </w:p>
        </w:tc>
        <w:tc>
          <w:tcPr>
            <w:tcW w:type="dxa" w:w="140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Type</w:t>
            </w:r>
          </w:p>
        </w:tc>
        <w:tc>
          <w:tcPr>
            <w:tcW w:type="dxa" w:w="140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Expected</w:t>
            </w:r>
          </w:p>
        </w:tc>
        <w:tc>
          <w:tcPr>
            <w:tcW w:type="dxa" w:w="3860"/>
            <w:tcBorders>
              <w:top w:val="single" w:color="D0D0D0" w:sz="4"/>
              <w:left w:val="single" w:color="D0D0D0" w:sz="4"/>
              <w:bottom w:val="single" w:color="D0D0D0" w:sz="4"/>
              <w:right w:val="single" w:color="D0D0D0" w:sz="4"/>
            </w:tcBorders>
            <w:shd w:fill="E6F2F0" w:val="clear"/>
            <w:tcMar>
              <w:top w:type="dxa" w:w="60"/>
              <w:left w:type="dxa" w:w="80"/>
              <w:bottom w:type="dxa" w:w="60"/>
              <w:right w:type="dxa" w:w="80"/>
            </w:tcMar>
          </w:tcPr>
          <w:p>
            <w:r>
              <w:rPr>
                <w:rFonts w:ascii="Arial" w:cs="Arial" w:eastAsia="Arial" w:hAnsi="Arial"/>
                <w:b/>
                <w:bCs/>
                <w:color w:val="1A1A1A"/>
                <w:sz w:val="18"/>
                <w:szCs w:val="18"/>
              </w:rPr>
              <w:t xml:space="preserve">Why</w:t>
            </w:r>
          </w:p>
        </w:tc>
      </w:tr>
      <w:tr>
        <w:tc>
          <w:tcPr>
            <w:tcW w:type="dxa" w:w="11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Q-1001</w:t>
            </w:r>
          </w:p>
        </w:tc>
        <w:tc>
          <w:tcPr>
            <w:tcW w:type="dxa" w:w="16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Northwind</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Renewal</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Approve</w:t>
            </w:r>
          </w:p>
        </w:tc>
        <w:tc>
          <w:tcPr>
            <w:tcW w:type="dxa" w:w="38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17.8% inside 22%. Credit Strong.</w:t>
            </w:r>
          </w:p>
        </w:tc>
      </w:tr>
      <w:tr>
        <w:tc>
          <w:tcPr>
            <w:tcW w:type="dxa" w:w="11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Q-1002</w:t>
            </w:r>
          </w:p>
        </w:tc>
        <w:tc>
          <w:tcPr>
            <w:tcW w:type="dxa" w:w="16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Pinnacle</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Expansion</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Reject</w:t>
            </w:r>
          </w:p>
        </w:tc>
        <w:tc>
          <w:tcPr>
            <w:tcW w:type="dxa" w:w="38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Past the exception ceiling.</w:t>
            </w:r>
          </w:p>
        </w:tc>
      </w:tr>
      <w:tr>
        <w:tc>
          <w:tcPr>
            <w:tcW w:type="dxa" w:w="11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Q-1003</w:t>
            </w:r>
          </w:p>
        </w:tc>
        <w:tc>
          <w:tcPr>
            <w:tcW w:type="dxa" w:w="16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Harbor</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Renewal</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Escalate</w:t>
            </w:r>
          </w:p>
        </w:tc>
        <w:tc>
          <w:tcPr>
            <w:tcW w:type="dxa" w:w="38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Net-90 and $18,400 past due.</w:t>
            </w:r>
          </w:p>
        </w:tc>
      </w:tr>
      <w:tr>
        <w:tc>
          <w:tcPr>
            <w:tcW w:type="dxa" w:w="11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Q-1004</w:t>
            </w:r>
          </w:p>
        </w:tc>
        <w:tc>
          <w:tcPr>
            <w:tcW w:type="dxa" w:w="16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Lumen</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New</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Approve</w:t>
            </w:r>
          </w:p>
        </w:tc>
        <w:tc>
          <w:tcPr>
            <w:tcW w:type="dxa" w:w="38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Inside enterprise new-business ceiling.</w:t>
            </w:r>
          </w:p>
        </w:tc>
      </w:tr>
      <w:tr>
        <w:tc>
          <w:tcPr>
            <w:tcW w:type="dxa" w:w="11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Q-1005</w:t>
            </w:r>
          </w:p>
        </w:tc>
        <w:tc>
          <w:tcPr>
            <w:tcW w:type="dxa" w:w="16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Brightline</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Add-on</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Escalate</w:t>
            </w:r>
          </w:p>
        </w:tc>
        <w:tc>
          <w:tcPr>
            <w:tcW w:type="dxa" w:w="38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Jump and longer terms.</w:t>
            </w:r>
          </w:p>
        </w:tc>
      </w:tr>
      <w:tr>
        <w:tc>
          <w:tcPr>
            <w:tcW w:type="dxa" w:w="11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Q-1006</w:t>
            </w:r>
          </w:p>
        </w:tc>
        <w:tc>
          <w:tcPr>
            <w:tcW w:type="dxa" w:w="16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Copperline</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New</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Reject</w:t>
            </w:r>
          </w:p>
        </w:tc>
        <w:tc>
          <w:tcPr>
            <w:tcW w:type="dxa" w:w="38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48%, Monthly, Net-90.</w:t>
            </w:r>
          </w:p>
        </w:tc>
      </w:tr>
      <w:tr>
        <w:tc>
          <w:tcPr>
            <w:tcW w:type="dxa" w:w="11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Q-1007</w:t>
            </w:r>
          </w:p>
        </w:tc>
        <w:tc>
          <w:tcPr>
            <w:tcW w:type="dxa" w:w="16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Sable</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Renewal</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Approve</w:t>
            </w:r>
          </w:p>
        </w:tc>
        <w:tc>
          <w:tcPr>
            <w:tcW w:type="dxa" w:w="38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Prepay credit covers the step.</w:t>
            </w:r>
          </w:p>
        </w:tc>
      </w:tr>
      <w:tr>
        <w:tc>
          <w:tcPr>
            <w:tcW w:type="dxa" w:w="11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Q-1008</w:t>
            </w:r>
          </w:p>
        </w:tc>
        <w:tc>
          <w:tcPr>
            <w:tcW w:type="dxa" w:w="16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Vanta</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Expansion</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Escalate</w:t>
            </w:r>
          </w:p>
        </w:tc>
        <w:tc>
          <w:tcPr>
            <w:tcW w:type="dxa" w:w="38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Quarter-end, jump, Net-60.</w:t>
            </w:r>
          </w:p>
        </w:tc>
      </w:tr>
      <w:tr>
        <w:tc>
          <w:tcPr>
            <w:tcW w:type="dxa" w:w="11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Q-1009</w:t>
            </w:r>
          </w:p>
        </w:tc>
        <w:tc>
          <w:tcPr>
            <w:tcW w:type="dxa" w:w="16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Kite &amp; Harbor</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New</w:t>
            </w:r>
          </w:p>
        </w:tc>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Reject</w:t>
            </w:r>
          </w:p>
        </w:tc>
        <w:tc>
          <w:tcPr>
            <w:tcW w:type="dxa" w:w="386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Note attack. Book still rejects.</w:t>
            </w:r>
          </w:p>
        </w:tc>
      </w:tr>
    </w:tbl>
    <w:p>
      <w:pPr>
        <w:spacing w:after="120"/>
      </w:pPr>
    </w:p>
    <w:p>
      <w:pPr>
        <w:pStyle w:val="Heading1"/>
        <w:spacing w:after="160" w:before="360"/>
      </w:pPr>
      <w:r>
        <w:rPr>
          <w:rFonts w:ascii="Arial" w:cs="Arial" w:eastAsia="Arial" w:hAnsi="Arial"/>
          <w:b/>
          <w:bCs/>
          <w:color w:val="158158"/>
          <w:sz w:val="32"/>
          <w:szCs w:val="32"/>
        </w:rPr>
        <w:t xml:space="preserve">11. Eval, judge, tracing</w:t>
      </w:r>
    </w:p>
    <w:p>
      <w:pPr>
        <w:pStyle w:val="ListParagraph"/>
        <w:numPr>
          <w:ilvl w:val="0"/>
          <w:numId w:val="2"/>
        </w:numPr>
        <w:spacing w:after="60"/>
      </w:pPr>
      <w:r>
        <w:rPr>
          <w:rFonts w:ascii="Arial" w:cs="Arial" w:eastAsia="Arial" w:hAnsi="Arial"/>
          <w:color w:val="1A1A1A"/>
          <w:sz w:val="22"/>
          <w:szCs w:val="22"/>
        </w:rPr>
        <w:t xml:space="preserve">Eval harness runs the nine quotes and checks label, citation, note-attack ignored, threshold, and HITL assignment.</w:t>
      </w:r>
    </w:p>
    <w:p>
      <w:pPr>
        <w:pStyle w:val="ListParagraph"/>
        <w:numPr>
          <w:ilvl w:val="0"/>
          <w:numId w:val="2"/>
        </w:numPr>
        <w:spacing w:after="60"/>
      </w:pPr>
      <w:r>
        <w:rPr>
          <w:rFonts w:ascii="Arial" w:cs="Arial" w:eastAsia="Arial" w:hAnsi="Arial"/>
          <w:color w:val="1A1A1A"/>
          <w:sz w:val="22"/>
          <w:szCs w:val="22"/>
        </w:rPr>
        <w:t xml:space="preserve">LLM as judge scores the same rubric in JSON mode: label match, citation, note attack ignored, threshold, HITL.</w:t>
      </w:r>
    </w:p>
    <w:p>
      <w:pPr>
        <w:pStyle w:val="ListParagraph"/>
        <w:numPr>
          <w:ilvl w:val="0"/>
          <w:numId w:val="2"/>
        </w:numPr>
        <w:spacing w:after="60"/>
      </w:pPr>
      <w:r>
        <w:rPr>
          <w:rFonts w:ascii="Arial" w:cs="Arial" w:eastAsia="Arial" w:hAnsi="Arial"/>
          <w:color w:val="1A1A1A"/>
          <w:sz w:val="22"/>
          <w:szCs w:val="22"/>
        </w:rPr>
        <w:t xml:space="preserve">Langfuse traces every hop: plan, discount node, payment node, combine, guardrail. Scores, tokens, cited rule.</w:t>
      </w:r>
    </w:p>
    <w:p>
      <w:pPr>
        <w:pStyle w:val="ListParagraph"/>
        <w:numPr>
          <w:ilvl w:val="0"/>
          <w:numId w:val="2"/>
        </w:numPr>
        <w:spacing w:after="60"/>
      </w:pPr>
      <w:r>
        <w:rPr>
          <w:rFonts w:ascii="Arial" w:cs="Arial" w:eastAsia="Arial" w:hAnsi="Arial"/>
          <w:color w:val="1A1A1A"/>
          <w:sz w:val="22"/>
          <w:szCs w:val="22"/>
        </w:rPr>
        <w:t xml:space="preserve">Token economics are modeled for extraction, judge, and approval-agent generation.</w:t>
      </w:r>
    </w:p>
    <w:p>
      <w:pPr>
        <w:pStyle w:val="ListParagraph"/>
        <w:numPr>
          <w:ilvl w:val="0"/>
          <w:numId w:val="2"/>
        </w:numPr>
        <w:spacing w:after="60"/>
      </w:pPr>
      <w:r>
        <w:rPr>
          <w:rFonts w:ascii="Arial" w:cs="Arial" w:eastAsia="Arial" w:hAnsi="Arial"/>
          <w:color w:val="1A1A1A"/>
          <w:sz w:val="22"/>
          <w:szCs w:val="22"/>
        </w:rPr>
        <w:t xml:space="preserve">A miss from the judge or a Deal Desk override becomes a candidate golden row.</w:t>
      </w:r>
    </w:p>
    <w:p>
      <w:pPr>
        <w:pStyle w:val="Heading1"/>
        <w:spacing w:after="160" w:before="360"/>
      </w:pPr>
      <w:r>
        <w:rPr>
          <w:rFonts w:ascii="Arial" w:cs="Arial" w:eastAsia="Arial" w:hAnsi="Arial"/>
          <w:b/>
          <w:bCs/>
          <w:color w:val="158158"/>
          <w:sz w:val="32"/>
          <w:szCs w:val="32"/>
        </w:rPr>
        <w:t xml:space="preserve">12. Quality bar</w:t>
      </w:r>
    </w:p>
    <w:p>
      <w:pPr>
        <w:pStyle w:val="ListParagraph"/>
        <w:numPr>
          <w:ilvl w:val="0"/>
          <w:numId w:val="2"/>
        </w:numPr>
        <w:spacing w:after="60"/>
      </w:pPr>
      <w:r>
        <w:rPr>
          <w:rFonts w:ascii="Arial" w:cs="Arial" w:eastAsia="Arial" w:hAnsi="Arial"/>
          <w:color w:val="1A1A1A"/>
          <w:sz w:val="22"/>
          <w:szCs w:val="22"/>
        </w:rPr>
        <w:t xml:space="preserve">Golden label match: 9 of 9 before a policy version goes live.</w:t>
      </w:r>
    </w:p>
    <w:p>
      <w:pPr>
        <w:pStyle w:val="ListParagraph"/>
        <w:numPr>
          <w:ilvl w:val="0"/>
          <w:numId w:val="2"/>
        </w:numPr>
        <w:spacing w:after="60"/>
      </w:pPr>
      <w:r>
        <w:rPr>
          <w:rFonts w:ascii="Arial" w:cs="Arial" w:eastAsia="Arial" w:hAnsi="Arial"/>
          <w:color w:val="1A1A1A"/>
          <w:sz w:val="22"/>
          <w:szCs w:val="22"/>
        </w:rPr>
        <w:t xml:space="preserve">Every non-approve carries a named assignee, an SLA, and a reason.</w:t>
      </w:r>
    </w:p>
    <w:p>
      <w:pPr>
        <w:pStyle w:val="ListParagraph"/>
        <w:numPr>
          <w:ilvl w:val="0"/>
          <w:numId w:val="2"/>
        </w:numPr>
        <w:spacing w:after="60"/>
      </w:pPr>
      <w:r>
        <w:rPr>
          <w:rFonts w:ascii="Arial" w:cs="Arial" w:eastAsia="Arial" w:hAnsi="Arial"/>
          <w:color w:val="1A1A1A"/>
          <w:sz w:val="22"/>
          <w:szCs w:val="22"/>
        </w:rPr>
        <w:t xml:space="preserve">Every label cites at least one rule from the live book.</w:t>
      </w:r>
    </w:p>
    <w:p>
      <w:pPr>
        <w:pStyle w:val="ListParagraph"/>
        <w:numPr>
          <w:ilvl w:val="0"/>
          <w:numId w:val="2"/>
        </w:numPr>
        <w:spacing w:after="60"/>
      </w:pPr>
      <w:r>
        <w:rPr>
          <w:rFonts w:ascii="Arial" w:cs="Arial" w:eastAsia="Arial" w:hAnsi="Arial"/>
          <w:color w:val="1A1A1A"/>
          <w:sz w:val="22"/>
          <w:szCs w:val="22"/>
        </w:rPr>
        <w:t xml:space="preserve">A note attack never produces Approve.</w:t>
      </w:r>
    </w:p>
    <w:p>
      <w:pPr>
        <w:pStyle w:val="ListParagraph"/>
        <w:numPr>
          <w:ilvl w:val="0"/>
          <w:numId w:val="2"/>
        </w:numPr>
        <w:spacing w:after="60"/>
      </w:pPr>
      <w:r>
        <w:rPr>
          <w:rFonts w:ascii="Arial" w:cs="Arial" w:eastAsia="Arial" w:hAnsi="Arial"/>
          <w:color w:val="1A1A1A"/>
          <w:sz w:val="22"/>
          <w:szCs w:val="22"/>
        </w:rPr>
        <w:t xml:space="preserve">Show agent reasoning shows the formula, not only the percent.</w:t>
      </w:r>
    </w:p>
    <w:p>
      <w:pPr>
        <w:pStyle w:val="Heading1"/>
        <w:spacing w:after="160" w:before="360"/>
      </w:pPr>
      <w:r>
        <w:rPr>
          <w:rFonts w:ascii="Arial" w:cs="Arial" w:eastAsia="Arial" w:hAnsi="Arial"/>
          <w:b/>
          <w:bCs/>
          <w:color w:val="158158"/>
          <w:sz w:val="32"/>
          <w:szCs w:val="32"/>
        </w:rPr>
        <w:t xml:space="preserve">13. Failure modes</w:t>
      </w:r>
    </w:p>
    <w:p>
      <w:pPr>
        <w:pStyle w:val="ListParagraph"/>
        <w:numPr>
          <w:ilvl w:val="0"/>
          <w:numId w:val="2"/>
        </w:numPr>
        <w:spacing w:after="60"/>
      </w:pPr>
      <w:r>
        <w:rPr>
          <w:rFonts w:ascii="Arial" w:cs="Arial" w:eastAsia="Arial" w:hAnsi="Arial"/>
          <w:color w:val="1A1A1A"/>
          <w:sz w:val="22"/>
          <w:szCs w:val="22"/>
        </w:rPr>
        <w:t xml:space="preserve">Extractor proposes a wrong band. Mitigation: human confirm before the version is live.</w:t>
      </w:r>
    </w:p>
    <w:p>
      <w:pPr>
        <w:pStyle w:val="ListParagraph"/>
        <w:numPr>
          <w:ilvl w:val="0"/>
          <w:numId w:val="2"/>
        </w:numPr>
        <w:spacing w:after="60"/>
      </w:pPr>
      <w:r>
        <w:rPr>
          <w:rFonts w:ascii="Arial" w:cs="Arial" w:eastAsia="Arial" w:hAnsi="Arial"/>
          <w:color w:val="1A1A1A"/>
          <w:sz w:val="22"/>
          <w:szCs w:val="22"/>
        </w:rPr>
        <w:t xml:space="preserve">Model writes a looser label than the books. Mitigation: output guardrail.</w:t>
      </w:r>
    </w:p>
    <w:p>
      <w:pPr>
        <w:pStyle w:val="ListParagraph"/>
        <w:numPr>
          <w:ilvl w:val="0"/>
          <w:numId w:val="2"/>
        </w:numPr>
        <w:spacing w:after="60"/>
      </w:pPr>
      <w:r>
        <w:rPr>
          <w:rFonts w:ascii="Arial" w:cs="Arial" w:eastAsia="Arial" w:hAnsi="Arial"/>
          <w:color w:val="1A1A1A"/>
          <w:sz w:val="22"/>
          <w:szCs w:val="22"/>
        </w:rPr>
        <w:t xml:space="preserve">Note injection. Mitigation: input detection plus output cap.</w:t>
      </w:r>
    </w:p>
    <w:p>
      <w:pPr>
        <w:pStyle w:val="ListParagraph"/>
        <w:numPr>
          <w:ilvl w:val="0"/>
          <w:numId w:val="2"/>
        </w:numPr>
        <w:spacing w:after="60"/>
      </w:pPr>
      <w:r>
        <w:rPr>
          <w:rFonts w:ascii="Arial" w:cs="Arial" w:eastAsia="Arial" w:hAnsi="Arial"/>
          <w:color w:val="1A1A1A"/>
          <w:sz w:val="22"/>
          <w:szCs w:val="22"/>
        </w:rPr>
        <w:t xml:space="preserve">No citation. Mitigation: hold.</w:t>
      </w:r>
    </w:p>
    <w:p>
      <w:pPr>
        <w:pStyle w:val="ListParagraph"/>
        <w:numPr>
          <w:ilvl w:val="0"/>
          <w:numId w:val="2"/>
        </w:numPr>
        <w:spacing w:after="60"/>
      </w:pPr>
      <w:r>
        <w:rPr>
          <w:rFonts w:ascii="Arial" w:cs="Arial" w:eastAsia="Arial" w:hAnsi="Arial"/>
          <w:color w:val="1A1A1A"/>
          <w:sz w:val="22"/>
          <w:szCs w:val="22"/>
        </w:rPr>
        <w:t xml:space="preserve">Policy drift. Mitigation: versioned books, golden harness, Langfuse.</w:t>
      </w:r>
    </w:p>
    <w:p>
      <w:pPr>
        <w:pStyle w:val="Heading1"/>
        <w:spacing w:after="160" w:before="360"/>
      </w:pPr>
      <w:r>
        <w:rPr>
          <w:rFonts w:ascii="Arial" w:cs="Arial" w:eastAsia="Arial" w:hAnsi="Arial"/>
          <w:b/>
          <w:bCs/>
          <w:color w:val="158158"/>
          <w:sz w:val="32"/>
          <w:szCs w:val="32"/>
        </w:rPr>
        <w:t xml:space="preserve">14. Deployment</w:t>
      </w:r>
    </w:p>
    <w:p>
      <w:pPr>
        <w:spacing w:after="120"/>
      </w:pPr>
      <w:r>
        <w:rPr>
          <w:rFonts w:ascii="Arial" w:cs="Arial" w:eastAsia="Arial" w:hAnsi="Arial"/>
          <w:color w:val="1A1A1A"/>
          <w:sz w:val="22"/>
          <w:szCs w:val="22"/>
        </w:rPr>
        <w:t xml:space="preserve">Python service beside the product UI. LangGraph compiles the crew. In production the graph runs in a container next to the CPQ, not inside it. Submit is the only inbound event. Write-back is one stage or one assignment. Per-customer policy packs. Full audit trail.</w:t>
      </w:r>
    </w:p>
    <w:p>
      <w:pPr>
        <w:pStyle w:val="Heading1"/>
        <w:spacing w:after="160" w:before="360"/>
      </w:pPr>
      <w:r>
        <w:rPr>
          <w:rFonts w:ascii="Arial" w:cs="Arial" w:eastAsia="Arial" w:hAnsi="Arial"/>
          <w:b/>
          <w:bCs/>
          <w:color w:val="158158"/>
          <w:sz w:val="32"/>
          <w:szCs w:val="32"/>
        </w:rPr>
        <w:t xml:space="preserve">15. Ethics</w:t>
      </w:r>
    </w:p>
    <w:p>
      <w:pPr>
        <w:spacing w:after="120"/>
      </w:pPr>
      <w:r>
        <w:rPr>
          <w:rFonts w:ascii="Arial" w:cs="Arial" w:eastAsia="Arial" w:hAnsi="Arial"/>
          <w:color w:val="1A1A1A"/>
          <w:sz w:val="22"/>
          <w:szCs w:val="22"/>
        </w:rPr>
        <w:t xml:space="preserve">Bias lives in the book and is visible: a tighter ceiling for one segment is a business choice, versioned and owned, not a model accident. Every label is explainable. Autonomy is bounded: the crew cannot send, sign, or convert. Escalate names a person. The hop reads commercial fields, not personal data beyond the seller and the account.</w:t>
      </w:r>
    </w:p>
    <w:p>
      <w:pPr>
        <w:pStyle w:val="Heading1"/>
        <w:spacing w:after="160" w:before="360"/>
      </w:pPr>
      <w:r>
        <w:rPr>
          <w:rFonts w:ascii="Arial" w:cs="Arial" w:eastAsia="Arial" w:hAnsi="Arial"/>
          <w:b/>
          <w:bCs/>
          <w:color w:val="158158"/>
          <w:sz w:val="32"/>
          <w:szCs w:val="32"/>
        </w:rPr>
        <w:t xml:space="preserve">16. Roadmap</w:t>
      </w:r>
    </w:p>
    <w:p>
      <w:pPr>
        <w:pStyle w:val="ListParagraph"/>
        <w:numPr>
          <w:ilvl w:val="0"/>
          <w:numId w:val="2"/>
        </w:numPr>
        <w:spacing w:after="60"/>
      </w:pPr>
      <w:r>
        <w:rPr>
          <w:rFonts w:ascii="Arial" w:cs="Arial" w:eastAsia="Arial" w:hAnsi="Arial"/>
          <w:color w:val="1A1A1A"/>
          <w:sz w:val="22"/>
          <w:szCs w:val="22"/>
        </w:rPr>
        <w:t xml:space="preserve">Now: live demo with Quotes, Approvals, Policy, Agents, Flow, Golden set, Langfuse. Three agents. Versioned books. Named assignment.</w:t>
      </w:r>
    </w:p>
    <w:p>
      <w:pPr>
        <w:pStyle w:val="ListParagraph"/>
        <w:numPr>
          <w:ilvl w:val="0"/>
          <w:numId w:val="2"/>
        </w:numPr>
        <w:spacing w:after="60"/>
      </w:pPr>
      <w:r>
        <w:rPr>
          <w:rFonts w:ascii="Arial" w:cs="Arial" w:eastAsia="Arial" w:hAnsi="Arial"/>
          <w:color w:val="1A1A1A"/>
          <w:sz w:val="22"/>
          <w:szCs w:val="22"/>
        </w:rPr>
        <w:t xml:space="preserve">Next: write-back to a real Salesforce queue or DealHub group. A legal-terms agent on the same graph. More customer packs.</w:t>
      </w:r>
    </w:p>
    <w:p>
      <w:pPr>
        <w:pStyle w:val="ListParagraph"/>
        <w:numPr>
          <w:ilvl w:val="0"/>
          <w:numId w:val="2"/>
        </w:numPr>
        <w:spacing w:after="60"/>
      </w:pPr>
      <w:r>
        <w:rPr>
          <w:rFonts w:ascii="Arial" w:cs="Arial" w:eastAsia="Arial" w:hAnsi="Arial"/>
          <w:color w:val="1A1A1A"/>
          <w:sz w:val="22"/>
          <w:szCs w:val="22"/>
        </w:rPr>
        <w:t xml:space="preserve">Later: usage-commit and renewal-risk agents. Judge misses become golden rows. Threshold and queues stay configuration.</w:t>
      </w:r>
    </w:p>
    <w:p>
      <w:pPr>
        <w:pStyle w:val="Heading1"/>
        <w:spacing w:after="160" w:before="360"/>
      </w:pPr>
      <w:r>
        <w:rPr>
          <w:rFonts w:ascii="Arial" w:cs="Arial" w:eastAsia="Arial" w:hAnsi="Arial"/>
          <w:b/>
          <w:bCs/>
          <w:color w:val="158158"/>
          <w:sz w:val="32"/>
          <w:szCs w:val="32"/>
        </w:rPr>
        <w:t xml:space="preserve">17. Success</w:t>
      </w:r>
    </w:p>
    <w:p>
      <w:pPr>
        <w:spacing w:after="120"/>
      </w:pPr>
      <w:r>
        <w:rPr>
          <w:rFonts w:ascii="Arial" w:cs="Arial" w:eastAsia="Arial" w:hAnsi="Arial"/>
          <w:color w:val="1A1A1A"/>
          <w:sz w:val="22"/>
          <w:szCs w:val="22"/>
        </w:rPr>
        <w:t xml:space="preserve">Clean renewals clear without a desk touch. Exceptions land with a person and a clock. Finance can replay the hop. The CPQ does not have to be replaced to get that.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444444"/>
        <w:sz w:val="16"/>
        <w:szCs w:val="16"/>
      </w:rPr>
      <w:t xml:space="preserve">AIPM403F  ·  Shashank Jasra  ·  Page </w:t>
    </w:r>
    <w:r>
      <w:rPr>
        <w:rFonts w:ascii="Arial" w:cs="Arial" w:eastAsia="Arial" w:hAnsi="Arial"/>
        <w:color w:val="444444"/>
        <w:sz w:val="16"/>
        <w:szCs w:val="16"/>
      </w:rPr>
      <w:fldChar w:fldCharType="begin"/>
    </w:r>
    <w:r>
      <w:rPr>
        <w:rFonts w:ascii="Arial" w:cs="Arial" w:eastAsia="Arial" w:hAnsi="Arial"/>
        <w:color w:val="444444"/>
        <w:sz w:val="16"/>
        <w:szCs w:val="16"/>
      </w:rPr>
      <w:instrText xml:space="preserve">PAGE</w:instrText>
    </w:r>
    <w:r>
      <w:rPr>
        <w:rFonts w:ascii="Arial" w:cs="Arial" w:eastAsia="Arial" w:hAnsi="Arial"/>
        <w:color w:val="444444"/>
        <w:sz w:val="16"/>
        <w:szCs w:val="16"/>
      </w:rPr>
      <w:fldChar w:fldCharType="separate"/>
    </w:r>
    <w:r>
      <w:rPr>
        <w:rFonts w:ascii="Arial" w:cs="Arial" w:eastAsia="Arial" w:hAnsi="Arial"/>
        <w:color w:val="444444"/>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58158"/>
        <w:sz w:val="18"/>
        <w:szCs w:val="18"/>
      </w:rPr>
      <w:t xml:space="preserve">DealFlow Approval Agents</w:t>
    </w:r>
    <w:r>
      <w:rPr>
        <w:rFonts w:ascii="Arial" w:cs="Arial" w:eastAsia="Arial" w:hAnsi="Arial"/>
        <w:color w:val="444444"/>
        <w:sz w:val="18"/>
        <w:szCs w:val="18"/>
      </w:rPr>
      <w:t xml:space="preserve">   ·   Product requirements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Arial" w:cs="Arial" w:eastAsia="Arial" w:hAnsi="Arial"/>
      <w:b/>
      <w:bCs/>
      <w:color w:val="158158"/>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1A1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2026-10-29T18:07:27.289Z</dcterms:created>
  <dcterms:modified xsi:type="dcterms:W3CDTF">2026-10-29T18:07:27.289Z</dcterms:modified>
</cp:coreProperties>
</file>

<file path=docProps/custom.xml><?xml version="1.0" encoding="utf-8"?>
<Properties xmlns="http://schemas.openxmlformats.org/officeDocument/2006/custom-properties" xmlns:vt="http://schemas.openxmlformats.org/officeDocument/2006/docPropsVTypes"/>
</file>