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GeoDiff-GAN: Research Progress Report</w:t>
      </w:r>
    </w:p>
    <w:p>
      <w:r>
        <w:rPr>
          <w:b/>
          <w:color w:val="1F4D78"/>
          <w:sz w:val="28"/>
        </w:rPr>
        <w:t>Prompt-Guided Diffusion-GAN Super-Resolution for Sentinel-2 Satellite Imagery</w:t>
      </w:r>
    </w:p>
    <w:p>
      <w:pPr>
        <w:spacing w:after="40"/>
      </w:pPr>
      <w:r>
        <w:rPr>
          <w:b/>
        </w:rPr>
        <w:t xml:space="preserve">Prepared for: </w:t>
      </w:r>
      <w:r>
        <w:t>Research Supervisor</w:t>
      </w:r>
    </w:p>
    <w:p>
      <w:pPr>
        <w:spacing w:after="40"/>
      </w:pPr>
      <w:r>
        <w:rPr>
          <w:b/>
        </w:rPr>
        <w:t xml:space="preserve">Prepared by: </w:t>
      </w:r>
      <w:r>
        <w:t>Shashank</w:t>
      </w:r>
    </w:p>
    <w:p>
      <w:pPr>
        <w:spacing w:after="40"/>
      </w:pPr>
      <w:r>
        <w:rPr>
          <w:b/>
        </w:rPr>
        <w:t xml:space="preserve">Reporting date: </w:t>
      </w:r>
      <w:r>
        <w:t>23 June 2026</w:t>
      </w:r>
    </w:p>
    <w:p>
      <w:pPr>
        <w:spacing w:after="40"/>
      </w:pPr>
      <w:r>
        <w:rPr>
          <w:b/>
        </w:rPr>
        <w:t xml:space="preserve">Research status: </w:t>
      </w:r>
      <w:r>
        <w:t>Architecture implemented; controlled training and comparative evaluation in progress</w:t>
      </w:r>
    </w:p>
    <w:p>
      <w:pPr>
        <w:pStyle w:val="Heading1"/>
      </w:pPr>
      <w:r>
        <w:t>1. Executive Summary</w:t>
      </w:r>
    </w:p>
    <w:p>
      <w:r>
        <w:t>This work investigates 4x single-image super-resolution for Sentinel-2 L2A RGB imagery, using synthetic 40 m observations and native 10 m targets. The proposed GeoDiff-GAN separates conservative reconstruction from uncertain detail synthesis. A deterministic SwinIR branch establishes radiometry and geometry, latent diffusion models plausible residual detail, a dual-policy GeoMapper controls evidence confidence and edit permission, and a residual GAN decoder reconstructs high-frequency content. Sensor back-projection finally enforces consistency with the observed LR image.</w:t>
      </w:r>
    </w:p>
    <w:p>
      <w:pPr>
        <w:pStyle w:val="ListBullet"/>
      </w:pPr>
      <w:r>
        <w:t>Implemented an end-to-end multi-stage research codebase with data preparation, training, evaluation, uncertainty, diagnostics, and resumable notebooks.</w:t>
      </w:r>
    </w:p>
    <w:p>
      <w:pPr>
        <w:pStyle w:val="ListBullet"/>
      </w:pPr>
      <w:r>
        <w:t>Developed small, medium, and large variants, plus an improved small model using resize-convolution to reduce periodic artifacts.</w:t>
      </w:r>
    </w:p>
    <w:p>
      <w:pPr>
        <w:pStyle w:val="ListBullet"/>
      </w:pPr>
      <w:r>
        <w:t>Completed six-tile diagnostic training and expanded the controlled experiment to twelve products with validation-based checkpointing and early stopping.</w:t>
      </w:r>
    </w:p>
    <w:p>
      <w:pPr>
        <w:pStyle w:val="ListBullet"/>
      </w:pPr>
      <w:r>
        <w:t>Built a common benchmark harness for recent open-source SR models and a saved-checkpoint evaluation notebook covering PSNR, SSIM, LPIPS, DISTS, edge F1, and LR consistency.</w:t>
      </w:r>
    </w:p>
    <w:p>
      <w:pPr>
        <w:pStyle w:val="Heading1"/>
      </w:pPr>
      <w:r>
        <w:t>2. Research Problem and Scope</w:t>
      </w:r>
    </w:p>
    <w:p>
      <w:r>
        <w:t>The primary experiment maps a 128 x 128 RGB LR patch to a 512 x 512 RGB HR patch. Because 4x degradation is non-invertible, the system cannot guarantee unique recovery of missing sub-pixel structure. The defensible objective is evidence-constrained reconstruction with explicit uncertainty, not unrestricted hallucination.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7056"/>
            <w:shd w:fill="F2F4F7"/>
            <w:vAlign w:val="center"/>
          </w:tcPr>
          <w:p>
            <w:r>
              <w:rPr>
                <w:b/>
              </w:rPr>
              <w:t>Current scope</w:t>
            </w:r>
          </w:p>
        </w:tc>
      </w:tr>
      <w:tr>
        <w:tc>
          <w:tcPr>
            <w:tcW w:type="dxa" w:w="2304"/>
            <w:vAlign w:val="center"/>
          </w:tcPr>
          <w:p>
            <w:r>
              <w:t>Sensor/product</w:t>
            </w:r>
          </w:p>
        </w:tc>
        <w:tc>
          <w:tcPr>
            <w:tcW w:type="dxa" w:w="7056"/>
            <w:vAlign w:val="center"/>
          </w:tcPr>
          <w:p>
            <w:r>
              <w:t>Sentinel-2 L2A surface reflectance</w:t>
            </w:r>
          </w:p>
        </w:tc>
      </w:tr>
      <w:tr>
        <w:tc>
          <w:tcPr>
            <w:tcW w:type="dxa" w:w="2304"/>
            <w:vAlign w:val="center"/>
          </w:tcPr>
          <w:p>
            <w:r>
              <w:t>Bands</w:t>
            </w:r>
          </w:p>
        </w:tc>
        <w:tc>
          <w:tcPr>
            <w:tcW w:type="dxa" w:w="7056"/>
            <w:vAlign w:val="center"/>
          </w:tcPr>
          <w:p>
            <w:r>
              <w:t>B4/B3/B2 RGB</w:t>
            </w:r>
          </w:p>
        </w:tc>
      </w:tr>
      <w:tr>
        <w:tc>
          <w:tcPr>
            <w:tcW w:type="dxa" w:w="2304"/>
            <w:vAlign w:val="center"/>
          </w:tcPr>
          <w:p>
            <w:r>
              <w:t>Task</w:t>
            </w:r>
          </w:p>
        </w:tc>
        <w:tc>
          <w:tcPr>
            <w:tcW w:type="dxa" w:w="7056"/>
            <w:vAlign w:val="center"/>
          </w:tcPr>
          <w:p>
            <w:r>
              <w:t>Synthetic 40 m to native 10 m, 4x SR</w:t>
            </w:r>
          </w:p>
        </w:tc>
      </w:tr>
      <w:tr>
        <w:tc>
          <w:tcPr>
            <w:tcW w:type="dxa" w:w="2304"/>
            <w:vAlign w:val="center"/>
          </w:tcPr>
          <w:p>
            <w:r>
              <w:t>HR patch</w:t>
            </w:r>
          </w:p>
        </w:tc>
        <w:tc>
          <w:tcPr>
            <w:tcW w:type="dxa" w:w="7056"/>
            <w:vAlign w:val="center"/>
          </w:tcPr>
          <w:p>
            <w:r>
              <w:t>3 x 512 x 512</w:t>
            </w:r>
          </w:p>
        </w:tc>
      </w:tr>
      <w:tr>
        <w:tc>
          <w:tcPr>
            <w:tcW w:type="dxa" w:w="2304"/>
            <w:vAlign w:val="center"/>
          </w:tcPr>
          <w:p>
            <w:r>
              <w:t>LR patch</w:t>
            </w:r>
          </w:p>
        </w:tc>
        <w:tc>
          <w:tcPr>
            <w:tcW w:type="dxa" w:w="7056"/>
            <w:vAlign w:val="center"/>
          </w:tcPr>
          <w:p>
            <w:r>
              <w:t>3 x 128 x 128</w:t>
            </w:r>
          </w:p>
        </w:tc>
      </w:tr>
      <w:tr>
        <w:tc>
          <w:tcPr>
            <w:tcW w:type="dxa" w:w="2304"/>
            <w:vAlign w:val="center"/>
          </w:tcPr>
          <w:p>
            <w:r>
              <w:t>Modes</w:t>
            </w:r>
          </w:p>
        </w:tc>
        <w:tc>
          <w:tcPr>
            <w:tcW w:type="dxa" w:w="7056"/>
            <w:vAlign w:val="center"/>
          </w:tcPr>
          <w:p>
            <w:r>
              <w:t>SR reconstruction and explicitly synthetic prompt edit</w:t>
            </w:r>
          </w:p>
        </w:tc>
      </w:tr>
      <w:tr>
        <w:tc>
          <w:tcPr>
            <w:tcW w:type="dxa" w:w="2304"/>
            <w:vAlign w:val="center"/>
          </w:tcPr>
          <w:p>
            <w:r>
              <w:t>Split principle</w:t>
            </w:r>
          </w:p>
        </w:tc>
        <w:tc>
          <w:tcPr>
            <w:tcW w:type="dxa" w:w="7056"/>
            <w:vAlign w:val="center"/>
          </w:tcPr>
          <w:p>
            <w:r>
              <w:t>Product/tile-aware separation; spatial-block split used for controlled DGX comparison</w:t>
            </w:r>
          </w:p>
        </w:tc>
      </w:tr>
    </w:tbl>
    <w:p>
      <w:pPr>
        <w:spacing w:after="0"/>
      </w:pPr>
    </w:p>
    <w:p>
      <w:pPr>
        <w:pStyle w:val="Heading1"/>
      </w:pPr>
      <w:r>
        <w:t>3. Proposed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5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diff-dual-policy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5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GeoDiff-GAN dual-policy architecture and evidence-controlled residual path.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376"/>
            <w:shd w:fill="F2F4F7"/>
            <w:vAlign w:val="center"/>
          </w:tcPr>
          <w:p>
            <w:r>
              <w:rPr>
                <w:b/>
              </w:rPr>
              <w:t>Input -&gt; output</w:t>
            </w:r>
          </w:p>
        </w:tc>
        <w:tc>
          <w:tcPr>
            <w:tcW w:type="dxa" w:w="5184"/>
            <w:shd w:fill="F2F4F7"/>
            <w:vAlign w:val="center"/>
          </w:tcPr>
          <w:p>
            <w:r>
              <w:rPr>
                <w:b/>
              </w:rPr>
              <w:t>Research role</w:t>
            </w:r>
          </w:p>
        </w:tc>
      </w:tr>
      <w:tr>
        <w:tc>
          <w:tcPr>
            <w:tcW w:type="dxa" w:w="1800"/>
            <w:vAlign w:val="center"/>
          </w:tcPr>
          <w:p>
            <w:r>
              <w:t>Deterministic base</w:t>
            </w:r>
          </w:p>
        </w:tc>
        <w:tc>
          <w:tcPr>
            <w:tcW w:type="dxa" w:w="2376"/>
            <w:vAlign w:val="center"/>
          </w:tcPr>
          <w:p>
            <w:r>
              <w:t>3x128x128 -&gt; 3x512x512</w:t>
            </w:r>
          </w:p>
        </w:tc>
        <w:tc>
          <w:tcPr>
            <w:tcW w:type="dxa" w:w="5184"/>
            <w:vAlign w:val="center"/>
          </w:tcPr>
          <w:p>
            <w:r>
              <w:t>Conservative geometry, reflectance, and low-frequency reconstruction.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Residual VAE</w:t>
            </w:r>
          </w:p>
        </w:tc>
        <w:tc>
          <w:tcPr>
            <w:tcW w:type="dxa" w:w="2376"/>
            <w:vAlign w:val="center"/>
          </w:tcPr>
          <w:p>
            <w:r>
              <w:t>3x512x512 residual -&gt; 4x64x64 latent</w:t>
            </w:r>
          </w:p>
        </w:tc>
        <w:tc>
          <w:tcPr>
            <w:tcW w:type="dxa" w:w="5184"/>
            <w:vAlign w:val="center"/>
          </w:tcPr>
          <w:p>
            <w:r>
              <w:t>Compresses the target residual distribution for latent diffusion.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LR encoder</w:t>
            </w:r>
          </w:p>
        </w:tc>
        <w:tc>
          <w:tcPr>
            <w:tcW w:type="dxa" w:w="2376"/>
            <w:vAlign w:val="center"/>
          </w:tcPr>
          <w:p>
            <w:r>
              <w:t>3x128x128 -&gt; multi-scale features</w:t>
            </w:r>
          </w:p>
        </w:tc>
        <w:tc>
          <w:tcPr>
            <w:tcW w:type="dxa" w:w="5184"/>
            <w:vAlign w:val="center"/>
          </w:tcPr>
          <w:p>
            <w:r>
              <w:t>Anchors latent and decoder features to observed spatial evidence.</w:t>
            </w:r>
          </w:p>
        </w:tc>
      </w:tr>
      <w:tr>
        <w:tc>
          <w:tcPr>
            <w:tcW w:type="dxa" w:w="1800"/>
            <w:vAlign w:val="center"/>
          </w:tcPr>
          <w:p>
            <w:r>
              <w:t>Conditional diffusion</w:t>
            </w:r>
          </w:p>
        </w:tc>
        <w:tc>
          <w:tcPr>
            <w:tcW w:type="dxa" w:w="2376"/>
            <w:vAlign w:val="center"/>
          </w:tcPr>
          <w:p>
            <w:r>
              <w:t>4x64x64 noisy latent -&gt; denoised latent</w:t>
            </w:r>
          </w:p>
        </w:tc>
        <w:tc>
          <w:tcPr>
            <w:tcW w:type="dxa" w:w="5184"/>
            <w:vAlign w:val="center"/>
          </w:tcPr>
          <w:p>
            <w:r>
              <w:t>Models ambiguous, stochastic residual detail conditioned on LR and degradation.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Dual-policy GeoMapper</w:t>
            </w:r>
          </w:p>
        </w:tc>
        <w:tc>
          <w:tcPr>
            <w:tcW w:type="dxa" w:w="2376"/>
            <w:vAlign w:val="center"/>
          </w:tcPr>
          <w:p>
            <w:r>
              <w:t>latent + LR + context -&gt; content, styles, confidence, permission</w:t>
            </w:r>
          </w:p>
        </w:tc>
        <w:tc>
          <w:tcPr>
            <w:tcW w:type="dxa" w:w="5184"/>
            <w:vAlign w:val="center"/>
          </w:tcPr>
          <w:p>
            <w:r>
              <w:t>Separates evidence-supported reconstruction from prompt-controlled synthetic editing.</w:t>
            </w:r>
          </w:p>
        </w:tc>
      </w:tr>
      <w:tr>
        <w:tc>
          <w:tcPr>
            <w:tcW w:type="dxa" w:w="1800"/>
            <w:vAlign w:val="center"/>
          </w:tcPr>
          <w:p>
            <w:r>
              <w:t>Residual decoder</w:t>
            </w:r>
          </w:p>
        </w:tc>
        <w:tc>
          <w:tcPr>
            <w:tcW w:type="dxa" w:w="2376"/>
            <w:vAlign w:val="center"/>
          </w:tcPr>
          <w:p>
            <w:r>
              <w:t>64-grid content -&gt; 3x512x512 residual</w:t>
            </w:r>
          </w:p>
        </w:tc>
        <w:tc>
          <w:tcPr>
            <w:tcW w:type="dxa" w:w="5184"/>
            <w:vAlign w:val="center"/>
          </w:tcPr>
          <w:p>
            <w:r>
              <w:t>Generates detail residuals with LR skip connections and layer-wise modulation.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Back-projection</w:t>
            </w:r>
          </w:p>
        </w:tc>
        <w:tc>
          <w:tcPr>
            <w:tcW w:type="dxa" w:w="2376"/>
            <w:vAlign w:val="center"/>
          </w:tcPr>
          <w:p>
            <w:r>
              <w:t>HR estimate + LR -&gt; corrected HR</w:t>
            </w:r>
          </w:p>
        </w:tc>
        <w:tc>
          <w:tcPr>
            <w:tcW w:type="dxa" w:w="5184"/>
            <w:vAlign w:val="center"/>
          </w:tcPr>
          <w:p>
            <w:r>
              <w:t>Reduces sensor re-degradation error while preserving the residual formulation.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Discriminators</w:t>
            </w:r>
          </w:p>
        </w:tc>
        <w:tc>
          <w:tcPr>
            <w:tcW w:type="dxa" w:w="2376"/>
            <w:vAlign w:val="center"/>
          </w:tcPr>
          <w:p>
            <w:r>
              <w:t>HR/LR pairs during training only</w:t>
            </w:r>
          </w:p>
        </w:tc>
        <w:tc>
          <w:tcPr>
            <w:tcW w:type="dxa" w:w="5184"/>
            <w:vAlign w:val="center"/>
          </w:tcPr>
          <w:p>
            <w:r>
              <w:t>Patch realism and Haar high-frequency supervision; absent at inference.</w:t>
            </w:r>
          </w:p>
        </w:tc>
      </w:tr>
    </w:tbl>
    <w:p>
      <w:pPr>
        <w:spacing w:after="0"/>
      </w:pPr>
    </w:p>
    <w:p>
      <w:pPr>
        <w:pStyle w:val="Heading1"/>
      </w:pPr>
      <w:r>
        <w:t>4. Novel Research Contributions Under Evaluation</w:t>
      </w:r>
    </w:p>
    <w:p>
      <w:pPr>
        <w:pStyle w:val="ListBullet"/>
      </w:pPr>
      <w:r>
        <w:t>Evidence-controlled residual generation: stochastic detail is added to a deterministic base rather than generating an unrestricted HR image.</w:t>
      </w:r>
    </w:p>
    <w:p>
      <w:pPr>
        <w:pStyle w:val="ListBullet"/>
      </w:pPr>
      <w:r>
        <w:t>Dual spatial policies: evidence confidence controls SR detail, while edit permission independently controls prompt-driven synthetic changes.</w:t>
      </w:r>
    </w:p>
    <w:p>
      <w:pPr>
        <w:pStyle w:val="ListBullet"/>
      </w:pPr>
      <w:r>
        <w:t>Uncertainty-aware abstention: multi-sample variance reduces trust in unstable generated detail and blends toward the deterministic base.</w:t>
      </w:r>
    </w:p>
    <w:p>
      <w:pPr>
        <w:pStyle w:val="ListBullet"/>
      </w:pPr>
      <w:r>
        <w:t>Sensor-consistency closure: iterative back-projection uses the degradation model to constrain the final output to the LR observation.</w:t>
      </w:r>
    </w:p>
    <w:p>
      <w:pPr>
        <w:pStyle w:val="ListBullet"/>
      </w:pPr>
      <w:r>
        <w:t>Dual-frequency adversarial training: conditional multi-scale PatchGAN is combined with a Haar-wavelet discriminator.</w:t>
      </w:r>
    </w:p>
    <w:p>
      <w:pPr>
        <w:pStyle w:val="ListBullet"/>
      </w:pPr>
      <w:r>
        <w:t>Explicit SR/edit semantics: reconstruction outputs and synthetic prompt edits use different residual policies and metadata claims.</w:t>
      </w:r>
    </w:p>
    <w:p>
      <w:r>
        <w:t>These are proposed contributions, not established novelty claims. Each requires controlled ablation against deterministic, diffusion-only, GAN-only, no-gate, no-projection, and alternative-decoder baselines.</w:t>
      </w:r>
    </w:p>
    <w:p>
      <w:pPr>
        <w:pStyle w:val="Heading1"/>
      </w:pPr>
      <w:r>
        <w:t>5. Model Variants and Capacity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2F4F7"/>
            <w:vAlign w:val="center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2160"/>
            <w:shd w:fill="F2F4F7"/>
            <w:vAlign w:val="center"/>
          </w:tcPr>
          <w:p>
            <w:r>
              <w:rPr>
                <w:b/>
              </w:rPr>
              <w:t>Core parameters</w:t>
            </w:r>
          </w:p>
        </w:tc>
        <w:tc>
          <w:tcPr>
            <w:tcW w:type="dxa" w:w="5040"/>
            <w:shd w:fill="F2F4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>
              <w:t>XS smoke</w:t>
            </w:r>
          </w:p>
        </w:tc>
        <w:tc>
          <w:tcPr>
            <w:tcW w:type="dxa" w:w="2160"/>
            <w:vAlign w:val="center"/>
          </w:tcPr>
          <w:p>
            <w:r>
              <w:t>0.765 M</w:t>
            </w:r>
          </w:p>
        </w:tc>
        <w:tc>
          <w:tcPr>
            <w:tcW w:type="dxa" w:w="5040"/>
            <w:vAlign w:val="center"/>
          </w:tcPr>
          <w:p>
            <w:r>
              <w:t>Pipeline and shape testing only</w:t>
            </w:r>
          </w:p>
        </w:tc>
      </w:tr>
      <w:tr>
        <w:tc>
          <w:tcPr>
            <w:tcW w:type="dxa" w:w="2160"/>
            <w:vAlign w:val="center"/>
          </w:tcPr>
          <w:p>
            <w:r>
              <w:t>Small</w:t>
            </w:r>
          </w:p>
        </w:tc>
        <w:tc>
          <w:tcPr>
            <w:tcW w:type="dxa" w:w="2160"/>
            <w:vAlign w:val="center"/>
          </w:tcPr>
          <w:p>
            <w:r>
              <w:t>12.140 M</w:t>
            </w:r>
          </w:p>
        </w:tc>
        <w:tc>
          <w:tcPr>
            <w:tcW w:type="dxa" w:w="5040"/>
            <w:vAlign w:val="center"/>
          </w:tcPr>
          <w:p>
            <w:r>
              <w:t>Primary constrained experiments and debugging</w:t>
            </w:r>
          </w:p>
        </w:tc>
      </w:tr>
      <w:tr>
        <w:tc>
          <w:tcPr>
            <w:tcW w:type="dxa" w:w="2160"/>
            <w:vAlign w:val="center"/>
          </w:tcPr>
          <w:p>
            <w:r>
              <w:t>Small improved</w:t>
            </w:r>
          </w:p>
        </w:tc>
        <w:tc>
          <w:tcPr>
            <w:tcW w:type="dxa" w:w="2160"/>
            <w:vAlign w:val="center"/>
          </w:tcPr>
          <w:p>
            <w:r>
              <w:t>12.054 M</w:t>
            </w:r>
          </w:p>
        </w:tc>
        <w:tc>
          <w:tcPr>
            <w:tcW w:type="dxa" w:w="5040"/>
            <w:vAlign w:val="center"/>
          </w:tcPr>
          <w:p>
            <w:r>
              <w:t>Resize-convolution decoder and stronger calibration/detail supervision</w:t>
            </w:r>
          </w:p>
        </w:tc>
      </w:tr>
      <w:tr>
        <w:tc>
          <w:tcPr>
            <w:tcW w:type="dxa" w:w="2160"/>
            <w:vAlign w:val="center"/>
          </w:tcPr>
          <w:p>
            <w:r>
              <w:t>Medium</w:t>
            </w:r>
          </w:p>
        </w:tc>
        <w:tc>
          <w:tcPr>
            <w:tcW w:type="dxa" w:w="2160"/>
            <w:vAlign w:val="center"/>
          </w:tcPr>
          <w:p>
            <w:r>
              <w:t>21.127 M</w:t>
            </w:r>
          </w:p>
        </w:tc>
        <w:tc>
          <w:tcPr>
            <w:tcW w:type="dxa" w:w="5040"/>
            <w:vAlign w:val="center"/>
          </w:tcPr>
          <w:p>
            <w:r>
              <w:t>Preferred capacity-scaling experiment</w:t>
            </w:r>
          </w:p>
        </w:tc>
      </w:tr>
      <w:tr>
        <w:tc>
          <w:tcPr>
            <w:tcW w:type="dxa" w:w="2160"/>
            <w:vAlign w:val="center"/>
          </w:tcPr>
          <w:p>
            <w:r>
              <w:t>Large</w:t>
            </w:r>
          </w:p>
        </w:tc>
        <w:tc>
          <w:tcPr>
            <w:tcW w:type="dxa" w:w="2160"/>
            <w:vAlign w:val="center"/>
          </w:tcPr>
          <w:p>
            <w:r>
              <w:t>81.856 M</w:t>
            </w:r>
          </w:p>
        </w:tc>
        <w:tc>
          <w:tcPr>
            <w:tcW w:type="dxa" w:w="5040"/>
            <w:vAlign w:val="center"/>
          </w:tcPr>
          <w:p>
            <w:r>
              <w:t>Full-capacity final experiment after data and decoder validation</w:t>
            </w:r>
          </w:p>
        </w:tc>
      </w:tr>
    </w:tbl>
    <w:p>
      <w:pPr>
        <w:spacing w:after="0"/>
      </w:pPr>
    </w:p>
    <w:p>
      <w:pPr>
        <w:pStyle w:val="Heading1"/>
      </w:pPr>
      <w:r>
        <w:t>6. Data and Training Pipeline</w:t>
      </w:r>
    </w:p>
    <w:p>
      <w:pPr>
        <w:pStyle w:val="ListBullet"/>
      </w:pPr>
      <w:r>
        <w:t>Complete Sentinel-2 SAFE products are read window-by-window; accepted patches are stored as compressed NPZ files.</w:t>
      </w:r>
    </w:p>
    <w:p>
      <w:pPr>
        <w:pStyle w:val="ListBullet"/>
      </w:pPr>
      <w:r>
        <w:t>SCL filtering removes cloud, shadow, invalid, saturated, and edge/corner background patches; rejected data are quarantined for audit.</w:t>
      </w:r>
    </w:p>
    <w:p>
      <w:pPr>
        <w:pStyle w:val="ListBullet"/>
      </w:pPr>
      <w:r>
        <w:t>Training LR is generated online with randomized MTF/PSF blur, area downsampling, mild Poisson-Gaussian noise, quantization, and degradation parameters.</w:t>
      </w:r>
    </w:p>
    <w:p>
      <w:pPr>
        <w:pStyle w:val="ListBullet"/>
      </w:pPr>
      <w:r>
        <w:t>Training follows base, residual VAE/decoder, latent diffusion, joint diffusion-GAN, and optional prompt-edit stages.</w:t>
      </w:r>
    </w:p>
    <w:p>
      <w:pPr>
        <w:pStyle w:val="ListBullet"/>
      </w:pPr>
      <w:r>
        <w:t>Mixed precision, gradient accumulation, resumable checkpoints, compact progress reporting, validation-selected best checkpoints, and early stopping are implemented.</w:t>
      </w:r>
    </w:p>
    <w:p>
      <w:pPr>
        <w:pStyle w:val="ListBullet"/>
      </w:pPr>
      <w:r>
        <w:t>Offline caption generation supports brief, descriptive, and analytical captions; a grounded multispectral workflow using B08/B11/SCL evidence was designed to reduce RGB-only caption hallucination.</w:t>
      </w:r>
    </w:p>
    <w:p>
      <w:pPr>
        <w:pStyle w:val="Heading1"/>
      </w:pPr>
      <w:r>
        <w:t>7. Experimental Progress and Findings</w:t>
      </w:r>
    </w:p>
    <w:p>
      <w:pPr>
        <w:pStyle w:val="Heading2"/>
      </w:pPr>
      <w:r>
        <w:t>Six-product diagnostic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</w:tcPr>
          <w:p>
            <w:r>
              <w:rPr>
                <w:b/>
              </w:rPr>
              <w:t>Diagnostic</w:t>
            </w:r>
          </w:p>
        </w:tc>
        <w:tc>
          <w:tcPr>
            <w:tcW w:type="dxa" w:w="1944"/>
            <w:shd w:fill="F2F4F7"/>
            <w:vAlign w:val="center"/>
          </w:tcPr>
          <w:p>
            <w:r>
              <w:rPr>
                <w:b/>
              </w:rPr>
              <w:t>Observed value</w:t>
            </w:r>
          </w:p>
        </w:tc>
        <w:tc>
          <w:tcPr>
            <w:tcW w:type="dxa" w:w="5112"/>
            <w:shd w:fill="F2F4F7"/>
            <w:vAlign w:val="center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304"/>
            <w:vAlign w:val="center"/>
          </w:tcPr>
          <w:p>
            <w:r>
              <w:t>Base-to-target L1</w:t>
            </w:r>
          </w:p>
        </w:tc>
        <w:tc>
          <w:tcPr>
            <w:tcW w:type="dxa" w:w="1944"/>
            <w:vAlign w:val="center"/>
          </w:tcPr>
          <w:p>
            <w:r>
              <w:t>0.04736</w:t>
            </w:r>
          </w:p>
        </w:tc>
        <w:tc>
          <w:tcPr>
            <w:tcW w:type="dxa" w:w="5112"/>
            <w:vAlign w:val="center"/>
          </w:tcPr>
          <w:p>
            <w:r>
              <w:t>Deterministic base remained inaccurate on the selected validation patch.</w:t>
            </w:r>
          </w:p>
        </w:tc>
      </w:tr>
      <w:tr>
        <w:tc>
          <w:tcPr>
            <w:tcW w:type="dxa" w:w="2304"/>
            <w:vAlign w:val="center"/>
          </w:tcPr>
          <w:p>
            <w:r>
              <w:t>Output-to-target L1</w:t>
            </w:r>
          </w:p>
        </w:tc>
        <w:tc>
          <w:tcPr>
            <w:tcW w:type="dxa" w:w="1944"/>
            <w:vAlign w:val="center"/>
          </w:tcPr>
          <w:p>
            <w:r>
              <w:t>0.02650</w:t>
            </w:r>
          </w:p>
        </w:tc>
        <w:tc>
          <w:tcPr>
            <w:tcW w:type="dxa" w:w="5112"/>
            <w:vAlign w:val="center"/>
          </w:tcPr>
          <w:p>
            <w:r>
              <w:t>Final system improved patch-level reconstruction by 44%.</w:t>
            </w:r>
          </w:p>
        </w:tc>
      </w:tr>
      <w:tr>
        <w:tc>
          <w:tcPr>
            <w:tcW w:type="dxa" w:w="2304"/>
            <w:vAlign w:val="center"/>
          </w:tcPr>
          <w:p>
            <w:r>
              <w:t>LR error before/after projection</w:t>
            </w:r>
          </w:p>
        </w:tc>
        <w:tc>
          <w:tcPr>
            <w:tcW w:type="dxa" w:w="1944"/>
            <w:vAlign w:val="center"/>
          </w:tcPr>
          <w:p>
            <w:r>
              <w:t>0.02032 / 0.00329</w:t>
            </w:r>
          </w:p>
        </w:tc>
        <w:tc>
          <w:tcPr>
            <w:tcW w:type="dxa" w:w="5112"/>
            <w:vAlign w:val="center"/>
          </w:tcPr>
          <w:p>
            <w:r>
              <w:t>Back-projection reduced inconsistency by 83.8%.</w:t>
            </w:r>
          </w:p>
        </w:tc>
      </w:tr>
      <w:tr>
        <w:tc>
          <w:tcPr>
            <w:tcW w:type="dxa" w:w="2304"/>
            <w:vAlign w:val="center"/>
          </w:tcPr>
          <w:p>
            <w:r>
              <w:t>Evidence confidence / abstention</w:t>
            </w:r>
          </w:p>
        </w:tc>
        <w:tc>
          <w:tcPr>
            <w:tcW w:type="dxa" w:w="1944"/>
            <w:vAlign w:val="center"/>
          </w:tcPr>
          <w:p>
            <w:r>
              <w:t>0.166 / 0.834</w:t>
            </w:r>
          </w:p>
        </w:tc>
        <w:tc>
          <w:tcPr>
            <w:tcW w:type="dxa" w:w="5112"/>
            <w:vAlign w:val="center"/>
          </w:tcPr>
          <w:p>
            <w:r>
              <w:t>The model suppressed most proposed stochastic detail.</w:t>
            </w:r>
          </w:p>
        </w:tc>
      </w:tr>
      <w:tr>
        <w:tc>
          <w:tcPr>
            <w:tcW w:type="dxa" w:w="2304"/>
            <w:vAlign w:val="center"/>
          </w:tcPr>
          <w:p>
            <w:r>
              <w:t>Output/target edge magnitude</w:t>
            </w:r>
          </w:p>
        </w:tc>
        <w:tc>
          <w:tcPr>
            <w:tcW w:type="dxa" w:w="1944"/>
            <w:vAlign w:val="center"/>
          </w:tcPr>
          <w:p>
            <w:r>
              <w:t>33.3%</w:t>
            </w:r>
          </w:p>
        </w:tc>
        <w:tc>
          <w:tcPr>
            <w:tcW w:type="dxa" w:w="5112"/>
            <w:vAlign w:val="center"/>
          </w:tcPr>
          <w:p>
            <w:r>
              <w:t>High-frequency reconstruction was substantially too weak.</w:t>
            </w:r>
          </w:p>
        </w:tc>
      </w:tr>
      <w:tr>
        <w:tc>
          <w:tcPr>
            <w:tcW w:type="dxa" w:w="2304"/>
            <w:vAlign w:val="center"/>
          </w:tcPr>
          <w:p>
            <w:r>
              <w:t>Wavelet amplitude retained</w:t>
            </w:r>
          </w:p>
        </w:tc>
        <w:tc>
          <w:tcPr>
            <w:tcW w:type="dxa" w:w="1944"/>
            <w:vAlign w:val="center"/>
          </w:tcPr>
          <w:p>
            <w:r>
              <w:t>30.7-37.8%</w:t>
            </w:r>
          </w:p>
        </w:tc>
        <w:tc>
          <w:tcPr>
            <w:tcW w:type="dxa" w:w="5112"/>
            <w:vAlign w:val="center"/>
          </w:tcPr>
          <w:p>
            <w:r>
              <w:t>Directional and diagonal detail remained under-reconstructed.</w:t>
            </w:r>
          </w:p>
        </w:tc>
      </w:tr>
      <w:tr>
        <w:tc>
          <w:tcPr>
            <w:tcW w:type="dxa" w:w="2304"/>
            <w:vAlign w:val="center"/>
          </w:tcPr>
          <w:p>
            <w:r>
              <w:t>Numerical stability</w:t>
            </w:r>
          </w:p>
        </w:tc>
        <w:tc>
          <w:tcPr>
            <w:tcW w:type="dxa" w:w="1944"/>
            <w:vAlign w:val="center"/>
          </w:tcPr>
          <w:p>
            <w:r>
              <w:t>No NaN/Inf</w:t>
            </w:r>
          </w:p>
        </w:tc>
        <w:tc>
          <w:tcPr>
            <w:tcW w:type="dxa" w:w="5112"/>
            <w:vAlign w:val="center"/>
          </w:tcPr>
          <w:p>
            <w:r>
              <w:t>Pipeline and diffusion sampling were stable.</w:t>
            </w:r>
          </w:p>
        </w:tc>
      </w:tr>
    </w:tbl>
    <w:p>
      <w:pPr>
        <w:spacing w:after="0"/>
      </w:pPr>
    </w:p>
    <w:p>
      <w:r>
        <w:t>Conclusion: the model was not numerically failing. It improved the deterministic base and preserved LR evidence, but remained overly conservative and failed to reconstruct enough target high-frequency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00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Representative six-product validation diagnostic: LR, base, residual, output, target, and consistency maps.</w:t>
      </w:r>
    </w:p>
    <w:p>
      <w:pPr>
        <w:pStyle w:val="Heading2"/>
      </w:pPr>
      <w:r>
        <w:t>Twelve-product improved experiment</w:t>
      </w:r>
    </w:p>
    <w:p>
      <w:pPr>
        <w:pStyle w:val="ListBullet"/>
      </w:pPr>
      <w:r>
        <w:t>Replaced residual-decoder PixelShuffle stages with bilinear resize-convolution to reduce lattice/checkerboard artifacts.</w:t>
      </w:r>
    </w:p>
    <w:p>
      <w:pPr>
        <w:pStyle w:val="ListBullet"/>
      </w:pPr>
      <w:r>
        <w:t>Added spatial confidence-selectivity supervision to discourage nearly uniform evidence maps.</w:t>
      </w:r>
    </w:p>
    <w:p>
      <w:pPr>
        <w:pStyle w:val="ListBullet"/>
      </w:pPr>
      <w:r>
        <w:t>Strengthened gradient and wavelet supervision while retaining a low adversarial weight.</w:t>
      </w:r>
    </w:p>
    <w:p>
      <w:pPr>
        <w:pStyle w:val="ListBullet"/>
      </w:pPr>
      <w:r>
        <w:t>Added 0/1/3-step projection ablations, early stopping, and best-plus-latest checkpoint retention.</w:t>
      </w:r>
    </w:p>
    <w:p>
      <w:pPr>
        <w:pStyle w:val="ListBullet"/>
      </w:pPr>
      <w:r>
        <w:t>Observed joint validation peaked early in one run, indicating overfitting or an overly aggressive joint phase; epoch 1 was retained as the best checkpoint.</w:t>
      </w:r>
    </w:p>
    <w:p>
      <w:pPr>
        <w:pStyle w:val="Heading1"/>
      </w:pPr>
      <w:r>
        <w:t>8. Current Limitations and Risks</w:t>
      </w:r>
    </w:p>
    <w:p>
      <w:pPr>
        <w:pStyle w:val="ListBullet"/>
      </w:pPr>
      <w:r>
        <w:t>Insufficient geographic diversity in early experiments limits generalization claims.</w:t>
      </w:r>
    </w:p>
    <w:p>
      <w:pPr>
        <w:pStyle w:val="ListBullet"/>
      </w:pPr>
      <w:r>
        <w:t>High-frequency detail remains weaker than the HR target even when LR consistency is strong.</w:t>
      </w:r>
    </w:p>
    <w:p>
      <w:pPr>
        <w:pStyle w:val="ListBullet"/>
      </w:pPr>
      <w:r>
        <w:t>Back-projection can repair LR consistency but cannot prove that inferred HR edges are correct.</w:t>
      </w:r>
    </w:p>
    <w:p>
      <w:pPr>
        <w:pStyle w:val="ListBullet"/>
      </w:pPr>
      <w:r>
        <w:t>Evidence confidence may become globally conservative instead of spatially selective.</w:t>
      </w:r>
    </w:p>
    <w:p>
      <w:pPr>
        <w:pStyle w:val="ListBullet"/>
      </w:pPr>
      <w:r>
        <w:t>Prompt captions generated from RGB alone can misclassify dark land as water; multispectral grounding is required.</w:t>
      </w:r>
    </w:p>
    <w:p>
      <w:pPr>
        <w:pStyle w:val="ListBullet"/>
      </w:pPr>
      <w:r>
        <w:t>Synthetic 40 m degradation does not prove performance on native real 40 m imagery.</w:t>
      </w:r>
    </w:p>
    <w:p>
      <w:pPr>
        <w:pStyle w:val="ListBullet"/>
      </w:pPr>
      <w:r>
        <w:t>Large capacity on small datasets increases overfitting risk and does not automatically fix decoder artifacts.</w:t>
      </w:r>
    </w:p>
    <w:p>
      <w:pPr>
        <w:pStyle w:val="Heading1"/>
      </w:pPr>
      <w:r>
        <w:t>9. Benchmarking and Evaluation</w:t>
      </w:r>
    </w:p>
    <w:p>
      <w:r>
        <w:t>A common evaluation framework has been prepared for GeoDiff-GAN and recent open-source SR architectures, including SwinIR, HAT, SRFormer, DAT, OmniSR, TTST, MFG-HMoE, and optional FreMamba. Saved checkpoints can now be evaluated without retraining using identical deterministic LR inputs.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472"/>
            <w:shd w:fill="F2F4F7"/>
            <w:vAlign w:val="cente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944"/>
            <w:shd w:fill="F2F4F7"/>
            <w:vAlign w:val="center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944"/>
            <w:vAlign w:val="center"/>
          </w:tcPr>
          <w:p>
            <w:r>
              <w:t>PSNR</w:t>
            </w:r>
          </w:p>
        </w:tc>
        <w:tc>
          <w:tcPr>
            <w:tcW w:type="dxa" w:w="5472"/>
            <w:vAlign w:val="center"/>
          </w:tcPr>
          <w:p>
            <w:r>
              <w:t>Pixel-level fidelity; can favor smooth outputs</w:t>
            </w:r>
          </w:p>
        </w:tc>
        <w:tc>
          <w:tcPr>
            <w:tcW w:type="dxa" w:w="1944"/>
            <w:vAlign w:val="center"/>
          </w:tcPr>
          <w:p>
            <w:r>
              <w:t>Higher</w:t>
            </w:r>
          </w:p>
        </w:tc>
      </w:tr>
      <w:tr>
        <w:tc>
          <w:tcPr>
            <w:tcW w:type="dxa" w:w="1944"/>
            <w:vAlign w:val="center"/>
          </w:tcPr>
          <w:p>
            <w:r>
              <w:t>SSIM</w:t>
            </w:r>
          </w:p>
        </w:tc>
        <w:tc>
          <w:tcPr>
            <w:tcW w:type="dxa" w:w="5472"/>
            <w:vAlign w:val="center"/>
          </w:tcPr>
          <w:p>
            <w:r>
              <w:t>Local luminance, contrast, and structural similarity</w:t>
            </w:r>
          </w:p>
        </w:tc>
        <w:tc>
          <w:tcPr>
            <w:tcW w:type="dxa" w:w="1944"/>
            <w:vAlign w:val="center"/>
          </w:tcPr>
          <w:p>
            <w:r>
              <w:t>Higher</w:t>
            </w:r>
          </w:p>
        </w:tc>
      </w:tr>
      <w:tr>
        <w:tc>
          <w:tcPr>
            <w:tcW w:type="dxa" w:w="1944"/>
            <w:vAlign w:val="center"/>
          </w:tcPr>
          <w:p>
            <w:r>
              <w:t>LPIPS</w:t>
            </w:r>
          </w:p>
        </w:tc>
        <w:tc>
          <w:tcPr>
            <w:tcW w:type="dxa" w:w="5472"/>
            <w:vAlign w:val="center"/>
          </w:tcPr>
          <w:p>
            <w:r>
              <w:t>Deep-feature perceptual distance</w:t>
            </w:r>
          </w:p>
        </w:tc>
        <w:tc>
          <w:tcPr>
            <w:tcW w:type="dxa" w:w="1944"/>
            <w:vAlign w:val="center"/>
          </w:tcPr>
          <w:p>
            <w:r>
              <w:t>Lower</w:t>
            </w:r>
          </w:p>
        </w:tc>
      </w:tr>
      <w:tr>
        <w:tc>
          <w:tcPr>
            <w:tcW w:type="dxa" w:w="1944"/>
            <w:vAlign w:val="center"/>
          </w:tcPr>
          <w:p>
            <w:r>
              <w:t>DISTS</w:t>
            </w:r>
          </w:p>
        </w:tc>
        <w:tc>
          <w:tcPr>
            <w:tcW w:type="dxa" w:w="5472"/>
            <w:vAlign w:val="center"/>
          </w:tcPr>
          <w:p>
            <w:r>
              <w:t>Structure and texture perceptual distance</w:t>
            </w:r>
          </w:p>
        </w:tc>
        <w:tc>
          <w:tcPr>
            <w:tcW w:type="dxa" w:w="1944"/>
            <w:vAlign w:val="center"/>
          </w:tcPr>
          <w:p>
            <w:r>
              <w:t>Lower</w:t>
            </w:r>
          </w:p>
        </w:tc>
      </w:tr>
      <w:tr>
        <w:tc>
          <w:tcPr>
            <w:tcW w:type="dxa" w:w="1944"/>
            <w:vAlign w:val="center"/>
          </w:tcPr>
          <w:p>
            <w:r>
              <w:t>Edge F1</w:t>
            </w:r>
          </w:p>
        </w:tc>
        <w:tc>
          <w:tcPr>
            <w:tcW w:type="dxa" w:w="5472"/>
            <w:vAlign w:val="center"/>
          </w:tcPr>
          <w:p>
            <w:r>
              <w:t>Agreement of reconstructed and target edges</w:t>
            </w:r>
          </w:p>
        </w:tc>
        <w:tc>
          <w:tcPr>
            <w:tcW w:type="dxa" w:w="1944"/>
            <w:vAlign w:val="center"/>
          </w:tcPr>
          <w:p>
            <w:r>
              <w:t>Higher</w:t>
            </w:r>
          </w:p>
        </w:tc>
      </w:tr>
      <w:tr>
        <w:tc>
          <w:tcPr>
            <w:tcW w:type="dxa" w:w="1944"/>
            <w:vAlign w:val="center"/>
          </w:tcPr>
          <w:p>
            <w:r>
              <w:t>Re-degradation L1</w:t>
            </w:r>
          </w:p>
        </w:tc>
        <w:tc>
          <w:tcPr>
            <w:tcW w:type="dxa" w:w="5472"/>
            <w:vAlign w:val="center"/>
          </w:tcPr>
          <w:p>
            <w:r>
              <w:t>Consistency of SR output with observed LR</w:t>
            </w:r>
          </w:p>
        </w:tc>
        <w:tc>
          <w:tcPr>
            <w:tcW w:type="dxa" w:w="1944"/>
            <w:vAlign w:val="center"/>
          </w:tcPr>
          <w:p>
            <w:r>
              <w:t>Lower</w:t>
            </w:r>
          </w:p>
        </w:tc>
      </w:tr>
      <w:tr>
        <w:tc>
          <w:tcPr>
            <w:tcW w:type="dxa" w:w="1944"/>
            <w:vAlign w:val="center"/>
          </w:tcPr>
          <w:p>
            <w:r>
              <w:t>Uncertainty correlation</w:t>
            </w:r>
          </w:p>
        </w:tc>
        <w:tc>
          <w:tcPr>
            <w:tcW w:type="dxa" w:w="5472"/>
            <w:vAlign w:val="center"/>
          </w:tcPr>
          <w:p>
            <w:r>
              <w:t>Whether stochastic variance identifies difficult regions</w:t>
            </w:r>
          </w:p>
        </w:tc>
        <w:tc>
          <w:tcPr>
            <w:tcW w:type="dxa" w:w="1944"/>
            <w:vAlign w:val="center"/>
          </w:tcPr>
          <w:p>
            <w:r>
              <w:t>Positive/error-aware</w:t>
            </w:r>
          </w:p>
        </w:tc>
      </w:tr>
    </w:tbl>
    <w:p>
      <w:pPr>
        <w:spacing w:after="0"/>
      </w:pPr>
    </w:p>
    <w:p>
      <w:pPr>
        <w:pStyle w:val="Heading1"/>
      </w:pPr>
      <w:r>
        <w:t>10. Next Work Plan</w:t>
      </w:r>
    </w:p>
    <w:p>
      <w:pPr>
        <w:pStyle w:val="ListNumber"/>
      </w:pPr>
      <w:r>
        <w:t>Run saved-checkpoint comparison on the complete held-out split with LPIPS and DISTS enabled.</w:t>
      </w:r>
    </w:p>
    <w:p>
      <w:pPr>
        <w:pStyle w:val="ListNumber"/>
      </w:pPr>
      <w:r>
        <w:t>Compare small improved and medium under identical data, updates, degradation seed, and early-stopping policy.</w:t>
      </w:r>
    </w:p>
    <w:p>
      <w:pPr>
        <w:pStyle w:val="ListNumber"/>
      </w:pPr>
      <w:r>
        <w:t>Complete decoder, evidence-gate, text, wavelet-discriminator, degradation-conditioning, and projection ablations.</w:t>
      </w:r>
    </w:p>
    <w:p>
      <w:pPr>
        <w:pStyle w:val="ListNumber"/>
      </w:pPr>
      <w:r>
        <w:t>Increase geographically diverse products while keeping validation and test tiles isolated.</w:t>
      </w:r>
    </w:p>
    <w:p>
      <w:pPr>
        <w:pStyle w:val="ListNumber"/>
      </w:pPr>
      <w:r>
        <w:t>Audit grounded captions by spectral evidence and manually review high-risk water/cloud/forest cases.</w:t>
      </w:r>
    </w:p>
    <w:p>
      <w:pPr>
        <w:pStyle w:val="ListNumber"/>
      </w:pPr>
      <w:r>
        <w:t>Report eight stochastic samples per test patch with uncertainty maps and selective-risk analysis.</w:t>
      </w:r>
    </w:p>
    <w:p>
      <w:pPr>
        <w:pStyle w:val="ListNumber"/>
      </w:pPr>
      <w:r>
        <w:t>Use the large model only after medium demonstrates reliable held-out improvement.</w:t>
      </w:r>
    </w:p>
    <w:p>
      <w:pPr>
        <w:pStyle w:val="Heading1"/>
      </w:pPr>
      <w:r>
        <w:t>11. Supervisor Decisions Requested</w:t>
      </w:r>
    </w:p>
    <w:p>
      <w:pPr>
        <w:pStyle w:val="ListBullet"/>
      </w:pPr>
      <w:r>
        <w:t>Approve the medium model as the next capacity experiment before committing compute to the large model.</w:t>
      </w:r>
    </w:p>
    <w:p>
      <w:pPr>
        <w:pStyle w:val="ListBullet"/>
      </w:pPr>
      <w:r>
        <w:t>Confirm that final claims should focus on synthetic Sentinel-2 40 m to 10 m reconstruction, with real native-resolution transfer treated as future validation.</w:t>
      </w:r>
    </w:p>
    <w:p>
      <w:pPr>
        <w:pStyle w:val="ListBullet"/>
      </w:pPr>
      <w:r>
        <w:t>Confirm the minimum number and geographic distribution of tiles required for thesis-level evaluation.</w:t>
      </w:r>
    </w:p>
    <w:p>
      <w:pPr>
        <w:pStyle w:val="ListBullet"/>
      </w:pPr>
      <w:r>
        <w:t>Review whether prompt-guided edit mode should remain a secondary synthetic-visualization contribution or be excluded from the first paper.</w:t>
      </w:r>
    </w:p>
    <w:p>
      <w:pPr>
        <w:pStyle w:val="Heading1"/>
      </w:pPr>
      <w:r>
        <w:t>12. Current Defensible Research Statement</w:t>
      </w:r>
    </w:p>
    <w:p>
      <w:pPr>
        <w:ind w:left="360" w:right="360"/>
      </w:pPr>
      <w:r>
        <w:rPr>
          <w:i/>
        </w:rPr>
        <w:t>GeoDiff-GAN is an evidence-controlled residual super-resolution framework that combines a deterministic transformer base, conditional latent diffusion, dual reconstruction/edit policies, adversarial high-frequency supervision, uncertainty abstention, and sensor back-projection. Current experiments show stable execution, improved reconstruction over the base, and strong LR consistency, while also revealing insufficient high-frequency recovery and the need for broader geographic validation and controlled ablation.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Progress report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8"/>
      </w:rPr>
      <w:t>GeoDiff-GAN Research Progress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