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Invaria Security Review Brief</w:t>
      </w:r>
    </w:p>
    <w:p>
      <w:pPr>
        <w:pStyle w:val="Subtitle"/>
        <w:spacing w:after="480"/>
      </w:pPr>
      <w:r>
        <w:t>TaskForge demonstration  |  Product progress, business impact, and review flow</w:t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Purpose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This brief explains what the Invaria demo does today, how a repository moves through the analysis flow, and why the results matter to a business reviewer. The main conclusion is that the TaskForge demonstration is ready to show: it imports the sample repository, maps supported code paths, surfaces evidence-backed candidates, and explains their possible business impact with the local Gemma model. Human review remains the final decision point.</w:t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What to show in the review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"/>
          <w:color w:val="161824"/>
          <w:sz w:val="20"/>
        </w:rPr>
        <w:t>Open the TaskForge Executive summary to start with the business view: 16 potential risks, the affected areas, and the review call to action.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"/>
          <w:color w:val="161824"/>
          <w:sz w:val="20"/>
        </w:rPr>
        <w:t>Choose a heatmap area, then use the risk journey to show how one endpoint could lead to a business consequence.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"/>
          <w:color w:val="161824"/>
          <w:sz w:val="20"/>
        </w:rPr>
        <w:t>Open the finding to show evidence, assumptions, source references, local Gemma context, and the confirm, dismiss, or keep-open decision.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"/>
          <w:color w:val="161824"/>
          <w:sz w:val="20"/>
        </w:rPr>
        <w:t>Switch to the security graph to show the route-to-data path behind the business summary.</w:t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Current demonstration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1121A"/>
            <w:tcBorders>
              <w:top w:val="single" w:sz="8" w:color="11121A"/>
              <w:left w:val="single" w:sz="8" w:color="11121A"/>
              <w:bottom w:val="single" w:sz="8" w:color="11121A"/>
              <w:right w:val="single" w:sz="8" w:color="11121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1944"/>
            <w:shd w:fill="11121A"/>
            <w:tcBorders>
              <w:top w:val="single" w:sz="8" w:color="11121A"/>
              <w:left w:val="single" w:sz="8" w:color="11121A"/>
              <w:bottom w:val="single" w:sz="8" w:color="11121A"/>
              <w:right w:val="single" w:sz="8" w:color="11121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544"/>
            <w:shd w:fill="11121A"/>
            <w:tcBorders>
              <w:top w:val="single" w:sz="8" w:color="11121A"/>
              <w:left w:val="single" w:sz="8" w:color="11121A"/>
              <w:bottom w:val="single" w:sz="8" w:color="11121A"/>
              <w:right w:val="single" w:sz="8" w:color="11121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What this means for tomorrow</w:t>
            </w:r>
          </w:p>
        </w:tc>
      </w:tr>
      <w:tr>
        <w:tc>
          <w:tcPr>
            <w:tcW w:type="dxa" w:w="1944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161824"/>
                <w:sz w:val="18"/>
              </w:rPr>
              <w:t>Repository ingestion</w:t>
            </w:r>
          </w:p>
        </w:tc>
        <w:tc>
          <w:tcPr>
            <w:tcW w:type="dxa" w:w="1944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Working for TaskForge</w:t>
            </w:r>
          </w:p>
        </w:tc>
        <w:tc>
          <w:tcPr>
            <w:tcW w:type="dxa" w:w="5544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The TaskForge repository has imported successfully. Broader repository testing remains a next step.</w:t>
            </w:r>
          </w:p>
        </w:tc>
      </w:tr>
      <w:tr>
        <w:tc>
          <w:tcPr>
            <w:tcW w:type="dxa" w:w="1944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161824"/>
                <w:sz w:val="18"/>
              </w:rPr>
              <w:t>Code understanding</w:t>
            </w:r>
          </w:p>
        </w:tc>
        <w:tc>
          <w:tcPr>
            <w:tcW w:type="dxa" w:w="1944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Working with coverage limits</w:t>
            </w:r>
          </w:p>
        </w:tc>
        <w:tc>
          <w:tcPr>
            <w:tcW w:type="dxa" w:w="5544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Supported structures identify routes, handlers, inputs, and data access. TaskForge maps 19 endpoints, while source coverage still needs expansion.</w:t>
            </w:r>
          </w:p>
        </w:tc>
      </w:tr>
      <w:tr>
        <w:tc>
          <w:tcPr>
            <w:tcW w:type="dxa" w:w="1944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161824"/>
                <w:sz w:val="18"/>
              </w:rPr>
              <w:t>Security graph</w:t>
            </w:r>
          </w:p>
        </w:tc>
        <w:tc>
          <w:tcPr>
            <w:tcW w:type="dxa" w:w="1944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Demo ready</w:t>
            </w:r>
          </w:p>
        </w:tc>
        <w:tc>
          <w:tcPr>
            <w:tcW w:type="dxa" w:w="5544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The graph links a request to its connected code and data path for focused investigation.</w:t>
            </w:r>
          </w:p>
        </w:tc>
      </w:tr>
      <w:tr>
        <w:tc>
          <w:tcPr>
            <w:tcW w:type="dxa" w:w="1944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161824"/>
                <w:sz w:val="18"/>
              </w:rPr>
              <w:t>Potential findings</w:t>
            </w:r>
          </w:p>
        </w:tc>
        <w:tc>
          <w:tcPr>
            <w:tcW w:type="dxa" w:w="1944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Demo ready</w:t>
            </w:r>
          </w:p>
        </w:tc>
        <w:tc>
          <w:tcPr>
            <w:tcW w:type="dxa" w:w="5544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Static checks produce source-linked candidates that need human review.</w:t>
            </w:r>
          </w:p>
        </w:tc>
      </w:tr>
      <w:tr>
        <w:tc>
          <w:tcPr>
            <w:tcW w:type="dxa" w:w="1944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161824"/>
                <w:sz w:val="18"/>
              </w:rPr>
              <w:t>Gemma business impact</w:t>
            </w:r>
          </w:p>
        </w:tc>
        <w:tc>
          <w:tcPr>
            <w:tcW w:type="dxa" w:w="1944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Connected locally</w:t>
            </w:r>
          </w:p>
        </w:tc>
        <w:tc>
          <w:tcPr>
            <w:tcW w:type="dxa" w:w="5544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The local model produces advisory business context and affected-area labels.</w:t>
            </w:r>
          </w:p>
        </w:tc>
      </w:tr>
      <w:tr>
        <w:tc>
          <w:tcPr>
            <w:tcW w:type="dxa" w:w="1944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161824"/>
                <w:sz w:val="18"/>
              </w:rPr>
              <w:t>Evidence and review</w:t>
            </w:r>
          </w:p>
        </w:tc>
        <w:tc>
          <w:tcPr>
            <w:tcW w:type="dxa" w:w="1944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Demo ready</w:t>
            </w:r>
          </w:p>
        </w:tc>
        <w:tc>
          <w:tcPr>
            <w:tcW w:type="dxa" w:w="5544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Finding details retain references, assumptions, and review actions.</w:t>
            </w:r>
          </w:p>
        </w:tc>
      </w:tr>
    </w:tbl>
    <w:p>
      <w:r>
        <w:br w:type="page"/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The current workspace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The Executive summary is the default completed-scan view. It turns the technical result into a plain-language discussion: what needs attention, which areas of the business could be affected, and which item the reviewer should inspect first.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097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xecutive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97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0677C"/>
          <w:sz w:val="18"/>
        </w:rPr>
        <w:t>Figure 1. Current TaskForge Executive summary in the Invaria workspace.</w:t>
      </w:r>
    </w:p>
    <w:p>
      <w:pPr>
        <w:pStyle w:val="Heading2"/>
        <w:spacing w:before="200" w:after="140"/>
      </w:pPr>
      <w:r>
        <w:rPr>
          <w:rFonts w:ascii="Arial" w:hAnsi="Arial" w:eastAsia="Arial"/>
          <w:color w:val="161824"/>
        </w:rPr>
        <w:t>How to read this screen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"/>
          <w:color w:val="161824"/>
          <w:sz w:val="20"/>
        </w:rPr>
        <w:t>The headline and action button identify the immediate review workload without claiming that a vulnerability is proven.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"/>
          <w:color w:val="161824"/>
          <w:sz w:val="20"/>
        </w:rPr>
        <w:t>Scorecards keep the scan size, business areas, high-priority routes, and review progress visible together.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"/>
          <w:color w:val="161824"/>
          <w:sz w:val="20"/>
        </w:rPr>
        <w:t>The heatmap and journey make the impact conversation accessible before a reviewer opens source-level detail.</w:t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Why this matters in the real world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The TaskForge sample represents a decentralized compute marketplace. Its routes manage job creation, job results, lender profiles, marketplace listings, balances, and transaction-related actions. If an authorization or data-access weakness is confirmed in these paths, the consequence can extend beyond one technical issue.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1121A"/>
            <w:tcBorders>
              <w:top w:val="single" w:sz="8" w:color="11121A"/>
              <w:left w:val="single" w:sz="8" w:color="11121A"/>
              <w:bottom w:val="single" w:sz="8" w:color="11121A"/>
              <w:right w:val="single" w:sz="8" w:color="11121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Potential business area</w:t>
            </w:r>
          </w:p>
        </w:tc>
        <w:tc>
          <w:tcPr>
            <w:tcW w:type="dxa" w:w="3888"/>
            <w:shd w:fill="11121A"/>
            <w:tcBorders>
              <w:top w:val="single" w:sz="8" w:color="11121A"/>
              <w:left w:val="single" w:sz="8" w:color="11121A"/>
              <w:bottom w:val="single" w:sz="8" w:color="11121A"/>
              <w:right w:val="single" w:sz="8" w:color="11121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If a weakness is confirmed</w:t>
            </w:r>
          </w:p>
        </w:tc>
        <w:tc>
          <w:tcPr>
            <w:tcW w:type="dxa" w:w="3384"/>
            <w:shd w:fill="11121A"/>
            <w:tcBorders>
              <w:top w:val="single" w:sz="8" w:color="11121A"/>
              <w:left w:val="single" w:sz="8" w:color="11121A"/>
              <w:bottom w:val="single" w:sz="8" w:color="11121A"/>
              <w:right w:val="single" w:sz="8" w:color="11121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What a reviewer needs to decide</w:t>
            </w:r>
          </w:p>
        </w:tc>
      </w:tr>
      <w:tr>
        <w:tc>
          <w:tcPr>
            <w:tcW w:type="dxa" w:w="2160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161824"/>
                <w:sz w:val="18"/>
              </w:rPr>
              <w:t>Customer and partner trust</w:t>
            </w:r>
          </w:p>
        </w:tc>
        <w:tc>
          <w:tcPr>
            <w:tcW w:type="dxa" w:w="3888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Unauthorized viewing of job or user information can reduce confidence in the marketplace.</w:t>
            </w:r>
          </w:p>
        </w:tc>
        <w:tc>
          <w:tcPr>
            <w:tcW w:type="dxa" w:w="3384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Does the route enforce ownership or a role check before returning data?</w:t>
            </w:r>
          </w:p>
        </w:tc>
      </w:tr>
      <w:tr>
        <w:tc>
          <w:tcPr>
            <w:tcW w:type="dxa" w:w="2160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161824"/>
                <w:sz w:val="18"/>
              </w:rPr>
              <w:t>Marketplace operations</w:t>
            </w:r>
          </w:p>
        </w:tc>
        <w:tc>
          <w:tcPr>
            <w:tcW w:type="dxa" w:w="3888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Changing job status, results, or acceptance flows without the right permission can disrupt delivery and dispute handling.</w:t>
            </w:r>
          </w:p>
        </w:tc>
        <w:tc>
          <w:tcPr>
            <w:tcW w:type="dxa" w:w="3384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Which user or service is allowed to perform this action?</w:t>
            </w:r>
          </w:p>
        </w:tc>
      </w:tr>
      <w:tr>
        <w:tc>
          <w:tcPr>
            <w:tcW w:type="dxa" w:w="2160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161824"/>
                <w:sz w:val="18"/>
              </w:rPr>
              <w:t>Data confidentiality</w:t>
            </w:r>
          </w:p>
        </w:tc>
        <w:tc>
          <w:tcPr>
            <w:tcW w:type="dxa" w:w="3888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Job details, lender information, and transaction records may expose sensitive commercial information.</w:t>
            </w:r>
          </w:p>
        </w:tc>
        <w:tc>
          <w:tcPr>
            <w:tcW w:type="dxa" w:w="3384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Which fields are sensitive and who should be able to retrieve them?</w:t>
            </w:r>
          </w:p>
        </w:tc>
      </w:tr>
      <w:tr>
        <w:tc>
          <w:tcPr>
            <w:tcW w:type="dxa" w:w="2160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161824"/>
                <w:sz w:val="18"/>
              </w:rPr>
              <w:t>Financial workflows</w:t>
            </w:r>
          </w:p>
        </w:tc>
        <w:tc>
          <w:tcPr>
            <w:tcW w:type="dxa" w:w="3888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Balance, lender, or transaction-related paths may affect reconciliation and user confidence.</w:t>
            </w:r>
          </w:p>
        </w:tc>
        <w:tc>
          <w:tcPr>
            <w:tcW w:type="dxa" w:w="3384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What additional controls or audit checks are required before release?</w:t>
            </w:r>
          </w:p>
        </w:tc>
      </w:tr>
    </w:tbl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These are possible consequences of findings under review. They are not evidence that an incident occurred. Invaria deliberately separates advisory business wording from the exact source evidence used to support a finding.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097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dings-and-business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97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0677C"/>
          <w:sz w:val="18"/>
        </w:rPr>
        <w:t>Figure 2. Findings view with the product overview and local Gemma business-impact context.</w:t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The seven stage security review flow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The workflow follows one simple principle: every business-facing message should lead back to code evidence and then to a human decision.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2884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n-stage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8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0677C"/>
          <w:sz w:val="18"/>
        </w:rPr>
        <w:t>Figure 3. The complete Invaria flow from repository intake to human review.</w:t>
      </w:r>
    </w:p>
    <w:p>
      <w:pPr>
        <w:pStyle w:val="Heading2"/>
        <w:spacing w:before="200" w:after="140"/>
      </w:pPr>
      <w:r>
        <w:rPr>
          <w:rFonts w:ascii="Arial" w:hAnsi="Arial" w:eastAsia="Arial"/>
          <w:color w:val="161824"/>
        </w:rPr>
        <w:t>Stage by stage details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The following pages explain the input, product action, reviewer output, and current scope for every stage.</w:t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01  Ingestion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Bring in the repository and any business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3880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88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0677C"/>
          <w:sz w:val="18"/>
        </w:rPr>
        <w:t>Figure 4. Ingestion flow.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For TaskForge the repository import completed. New external repositories still need broader verification.</w:t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02  Understand the code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Turn supported source files into useful application facts.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3880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88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0677C"/>
          <w:sz w:val="18"/>
        </w:rPr>
        <w:t>Figure 5. Understand the code flow.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TaskForge maps 19 endpoints. Parsing coverage is still limited to supported patterns and files.</w:t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03  Map the connections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Show how a request reaches functions and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3880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88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0677C"/>
          <w:sz w:val="18"/>
        </w:rPr>
        <w:t>Figure 6. Map the connections flow.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The demo graph makes one endpoint path easy to inspect without reading raw source first.</w:t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04  Find potential risks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Apply static checks to identify patterns that need attention.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3880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88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0677C"/>
          <w:sz w:val="18"/>
        </w:rPr>
        <w:t>Figure 7. Find potential risks flow.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TaskForge currently shows 16 potential risks. These are review candidates, not proven incidents.</w:t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05  Explain business impact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Translate technical findings into possible business consequences.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388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88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0677C"/>
          <w:sz w:val="18"/>
        </w:rPr>
        <w:t>Figure 8. Explain business impact flow.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Gemma wording is clearly labeled advisory and does not replace source evidence or change severity.</w:t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06  Verify the evidence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Keep each finding tied to evidence and assumptions.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3880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88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0677C"/>
          <w:sz w:val="18"/>
        </w:rPr>
        <w:t>Figure 9. Verify the evidence flow.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The interface exposes the source references and the limits of the supported analysis.</w:t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07  Human review and reporting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Let a reviewer decide what should happen next.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3880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88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0677C"/>
          <w:sz w:val="18"/>
        </w:rPr>
        <w:t>Figure 10. Human review and reporting flow.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This stage remains human-led. The product supports the decision; it does not make it automatically.</w:t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Evidence and the security graph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The security graph is the bridge between the Executive summary and detailed evidence. A reviewer can select a route and see the connected inputs, functions, and data access steps. This helps the conversation move from “why it matters” to “show me why this is being reviewed.”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0970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curity-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97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0677C"/>
          <w:sz w:val="18"/>
        </w:rPr>
        <w:t>Figure 11. Security graph view showing a supported route-to-code path.</w:t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What has been delivered so far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"/>
          <w:color w:val="161824"/>
          <w:sz w:val="20"/>
        </w:rPr>
        <w:t>A working TaskForge repository analysis flow with the current supported static checks.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"/>
          <w:color w:val="161824"/>
          <w:sz w:val="20"/>
        </w:rPr>
        <w:t>A workspace with repository history, results navigation, finding details, evidence references, graph exploration, and report export actions.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"/>
          <w:color w:val="161824"/>
          <w:sz w:val="20"/>
        </w:rPr>
        <w:t>A local Gemma business-impact workflow that uses uploaded documents when useful and clearly labels generated wording as advisory.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"/>
          <w:color w:val="161824"/>
          <w:sz w:val="20"/>
        </w:rPr>
        <w:t>An Executive summary designed for a non-technical review: scorecards, heatmap, risk journey, balanced severity language, and an explicit human review action.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"/>
          <w:color w:val="161824"/>
          <w:sz w:val="20"/>
        </w:rPr>
        <w:t>A refined responsive interface with keyboard focus states and subtle interaction feedback for the demo flow.</w:t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Future outcome and next steps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The immediate goal after the review is to broaden the evidence coverage while preserving the same review-first experience. The product should become more useful as it understands more languages, frameworks, document types, and application-specific authorization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11121A"/>
            <w:tcBorders>
              <w:top w:val="single" w:sz="8" w:color="11121A"/>
              <w:left w:val="single" w:sz="8" w:color="11121A"/>
              <w:bottom w:val="single" w:sz="8" w:color="11121A"/>
              <w:right w:val="single" w:sz="8" w:color="11121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Next outcome</w:t>
            </w:r>
          </w:p>
        </w:tc>
        <w:tc>
          <w:tcPr>
            <w:tcW w:type="dxa" w:w="4320"/>
            <w:shd w:fill="11121A"/>
            <w:tcBorders>
              <w:top w:val="single" w:sz="8" w:color="11121A"/>
              <w:left w:val="single" w:sz="8" w:color="11121A"/>
              <w:bottom w:val="single" w:sz="8" w:color="11121A"/>
              <w:right w:val="single" w:sz="8" w:color="11121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Why it helps</w:t>
            </w:r>
          </w:p>
        </w:tc>
        <w:tc>
          <w:tcPr>
            <w:tcW w:type="dxa" w:w="2808"/>
            <w:shd w:fill="11121A"/>
            <w:tcBorders>
              <w:top w:val="single" w:sz="8" w:color="11121A"/>
              <w:left w:val="single" w:sz="8" w:color="11121A"/>
              <w:bottom w:val="single" w:sz="8" w:color="11121A"/>
              <w:right w:val="single" w:sz="8" w:color="11121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Measure of progress</w:t>
            </w:r>
          </w:p>
        </w:tc>
      </w:tr>
      <w:tr>
        <w:tc>
          <w:tcPr>
            <w:tcW w:type="dxa" w:w="2304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161824"/>
                <w:sz w:val="18"/>
              </w:rPr>
              <w:t>Broader source coverage</w:t>
            </w:r>
          </w:p>
        </w:tc>
        <w:tc>
          <w:tcPr>
            <w:tcW w:type="dxa" w:w="4320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More files and supported framework patterns make the analysis represent more of a real application.</w:t>
            </w:r>
          </w:p>
        </w:tc>
        <w:tc>
          <w:tcPr>
            <w:tcW w:type="dxa" w:w="2808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Share of source files parsed and endpoints mapped.</w:t>
            </w:r>
          </w:p>
        </w:tc>
      </w:tr>
      <w:tr>
        <w:tc>
          <w:tcPr>
            <w:tcW w:type="dxa" w:w="2304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161824"/>
                <w:sz w:val="18"/>
              </w:rPr>
              <w:t>Richer business context</w:t>
            </w:r>
          </w:p>
        </w:tc>
        <w:tc>
          <w:tcPr>
            <w:tcW w:type="dxa" w:w="4320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Better documents and curated business areas make the Gemma explanations more specific and useful.</w:t>
            </w:r>
          </w:p>
        </w:tc>
        <w:tc>
          <w:tcPr>
            <w:tcW w:type="dxa" w:w="2808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Reviewer feedback on relevance and clarity.</w:t>
            </w:r>
          </w:p>
        </w:tc>
      </w:tr>
      <w:tr>
        <w:tc>
          <w:tcPr>
            <w:tcW w:type="dxa" w:w="2304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161824"/>
                <w:sz w:val="18"/>
              </w:rPr>
              <w:t>More precise checks</w:t>
            </w:r>
          </w:p>
        </w:tc>
        <w:tc>
          <w:tcPr>
            <w:tcW w:type="dxa" w:w="4320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Additional evidence rules reduce noise and reveal more meaningful patterns.</w:t>
            </w:r>
          </w:p>
        </w:tc>
        <w:tc>
          <w:tcPr>
            <w:tcW w:type="dxa" w:w="2808"/>
            <w:shd w:fill="FFFFFF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Confirmed versus dismissed finding ratio.</w:t>
            </w:r>
          </w:p>
        </w:tc>
      </w:tr>
      <w:tr>
        <w:tc>
          <w:tcPr>
            <w:tcW w:type="dxa" w:w="2304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/>
                <w:color w:val="161824"/>
                <w:sz w:val="18"/>
              </w:rPr>
              <w:t>Review workflow maturity</w:t>
            </w:r>
          </w:p>
        </w:tc>
        <w:tc>
          <w:tcPr>
            <w:tcW w:type="dxa" w:w="4320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Saved decisions and exports support collaboration, follow-up, and an audit trail.</w:t>
            </w:r>
          </w:p>
        </w:tc>
        <w:tc>
          <w:tcPr>
            <w:tcW w:type="dxa" w:w="2808"/>
            <w:shd w:fill="F8F9FC"/>
            <w:tcBorders>
              <w:top w:val="single" w:sz="8" w:color="DFE3EE"/>
              <w:left w:val="single" w:sz="8" w:color="DFE3EE"/>
              <w:bottom w:val="single" w:sz="8" w:color="DFE3EE"/>
              <w:right w:val="single" w:sz="8" w:color="DFE3E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Arial" w:hAnsi="Arial" w:eastAsia="Arial"/>
                <w:b w:val="0"/>
                <w:color w:val="161824"/>
                <w:sz w:val="18"/>
              </w:rPr>
              <w:t>Time from finding to documented decision.</w:t>
            </w:r>
          </w:p>
        </w:tc>
      </w:tr>
    </w:tbl>
    <w:p>
      <w:pPr>
        <w:pStyle w:val="Heading1"/>
        <w:spacing w:before="300" w:after="140"/>
      </w:pPr>
      <w:r>
        <w:rPr>
          <w:rFonts w:ascii="Arial" w:hAnsi="Arial" w:eastAsia="Arial"/>
          <w:color w:val="161824"/>
        </w:rPr>
        <w:t>Recommended closing message for the review</w:t>
      </w:r>
    </w:p>
    <w:p>
      <w:pPr>
        <w:spacing w:after="160" w:line="305" w:lineRule="auto"/>
      </w:pPr>
      <w:r>
        <w:rPr>
          <w:rFonts w:ascii="Arial" w:hAnsi="Arial" w:eastAsia="Arial"/>
          <w:color w:val="161824"/>
          <w:sz w:val="21"/>
        </w:rPr>
        <w:t>Invaria already provides a working path from a TaskForge repository to a business-facing review screen. The next investment is not a new dashboard; it is deeper source coverage and more precise evidence so that the same workflow can support a wider range of real applications with increasing confidence.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0677C"/>
        <w:sz w:val="16"/>
      </w:rPr>
      <w:t xml:space="preserve">Invaria review brief  |  Confidential draft for presentation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618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182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18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6182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/>
      <w:i/>
      <w:iCs/>
      <w:color w:val="16182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