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8950E" w14:textId="77777777" w:rsidR="00A27DA8" w:rsidRPr="00A27DA8" w:rsidRDefault="00A27DA8" w:rsidP="00A27DA8">
      <w:pPr>
        <w:ind w:left="360" w:firstLine="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>Problem Statement:</w:t>
      </w:r>
    </w:p>
    <w:p w14:paraId="4AFB1D4A" w14:textId="77777777" w:rsidR="00A27DA8" w:rsidRPr="00A27DA8" w:rsidRDefault="00A27DA8" w:rsidP="00A27DA8">
      <w:pPr>
        <w:ind w:left="360" w:firstLine="360"/>
        <w:jc w:val="both"/>
        <w:rPr>
          <w:rFonts w:ascii="Segoe UI" w:hAnsi="Segoe UI" w:cs="Segoe UI"/>
        </w:rPr>
      </w:pPr>
      <w:r w:rsidRPr="00A27DA8">
        <w:rPr>
          <w:rFonts w:ascii="Segoe UI" w:hAnsi="Segoe UI" w:cs="Segoe UI"/>
        </w:rPr>
        <w:t>Revise the ERD from problem 1 with more details about test types. A test type includes a unique test type identifier, a test type name, a test type cost, and a test type code. A lab test administered to a client is associated with one test type. A test type can be administered to multiple clients. A test type can exist in the database without ever being administered.</w:t>
      </w:r>
    </w:p>
    <w:p w14:paraId="1E9F8C9B" w14:textId="77777777" w:rsidR="00A27DA8" w:rsidRPr="00A27DA8" w:rsidRDefault="00A27DA8" w:rsidP="00A27DA8">
      <w:pPr>
        <w:ind w:left="-36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>Solution:</w:t>
      </w:r>
    </w:p>
    <w:p w14:paraId="69E1DF49" w14:textId="77777777" w:rsidR="00A27DA8" w:rsidRPr="00A27DA8" w:rsidRDefault="00A27DA8" w:rsidP="00A27DA8">
      <w:pPr>
        <w:ind w:left="-360"/>
        <w:rPr>
          <w:rFonts w:ascii="Segoe UI" w:hAnsi="Segoe UI" w:cs="Segoe UI"/>
          <w:b/>
        </w:rPr>
      </w:pPr>
      <w:r w:rsidRPr="00A27DA8">
        <w:rPr>
          <w:rFonts w:ascii="Segoe UI" w:hAnsi="Segoe UI" w:cs="Segoe UI"/>
          <w:b/>
        </w:rPr>
        <w:tab/>
      </w:r>
      <w:bookmarkStart w:id="0" w:name="_GoBack"/>
      <w:r w:rsidR="00A04365">
        <w:rPr>
          <w:rFonts w:ascii="Segoe UI" w:hAnsi="Segoe UI" w:cs="Segoe UI"/>
          <w:b/>
          <w:noProof/>
          <w:snapToGrid/>
        </w:rPr>
        <w:drawing>
          <wp:inline distT="0" distB="0" distL="0" distR="0" wp14:anchorId="4DCB5DB2" wp14:editId="0DD6623D">
            <wp:extent cx="4219575" cy="329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93FF094" w14:textId="77777777" w:rsidR="00A27DA8" w:rsidRPr="00A27DA8" w:rsidRDefault="00A27DA8" w:rsidP="00A27DA8">
      <w:pPr>
        <w:ind w:left="-360" w:firstLine="1080"/>
        <w:rPr>
          <w:rFonts w:ascii="Segoe UI" w:hAnsi="Segoe UI" w:cs="Segoe UI"/>
          <w:b/>
        </w:rPr>
      </w:pPr>
    </w:p>
    <w:p w14:paraId="44FD1750" w14:textId="77777777" w:rsidR="00A27DA8" w:rsidRPr="00A27DA8" w:rsidRDefault="00A27DA8" w:rsidP="00A27DA8">
      <w:pPr>
        <w:rPr>
          <w:rFonts w:ascii="Segoe UI" w:hAnsi="Segoe UI" w:cs="Segoe UI"/>
        </w:rPr>
      </w:pPr>
    </w:p>
    <w:p w14:paraId="3C741EB8" w14:textId="77777777" w:rsidR="00947AFF" w:rsidRPr="00A27DA8" w:rsidRDefault="00947AFF" w:rsidP="00A27DA8">
      <w:pPr>
        <w:rPr>
          <w:rFonts w:ascii="Segoe UI" w:hAnsi="Segoe UI" w:cs="Segoe UI"/>
        </w:rPr>
      </w:pPr>
    </w:p>
    <w:sectPr w:rsidR="00947AFF" w:rsidRPr="00A27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B5"/>
    <w:rsid w:val="00947AFF"/>
    <w:rsid w:val="00A04365"/>
    <w:rsid w:val="00A27DA8"/>
    <w:rsid w:val="00EC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EBCC"/>
  <w15:chartTrackingRefBased/>
  <w15:docId w15:val="{286BF11A-6C81-4840-B9F9-705BDFCA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FB5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AA3E-648C-3E46-B63D-8DE65B63F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3</cp:revision>
  <dcterms:created xsi:type="dcterms:W3CDTF">2016-01-19T16:51:00Z</dcterms:created>
  <dcterms:modified xsi:type="dcterms:W3CDTF">2017-06-08T05:50:00Z</dcterms:modified>
</cp:coreProperties>
</file>