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00000001" w14:textId="77777777" w:rsidR="001B2758" w:rsidRDefault="00000000">
      <w:pPr>
        <w:tabs>
          <w:tab w:val="right" w:pos="9360"/>
        </w:tabs>
        <w:ind w:firstLine="0"/>
        <w:rPr>
          <w:rFonts w:ascii="Calibri" w:eastAsia="Calibri" w:hAnsi="Calibri" w:cs="Calibri"/>
        </w:rPr>
      </w:pPr>
      <w:r>
        <w:rPr>
          <w:rFonts w:ascii="Calibri" w:eastAsia="Calibri" w:hAnsi="Calibri" w:cs="Calibri"/>
        </w:rPr>
        <w:tab/>
      </w:r>
    </w:p>
    <w:p w14:paraId="00000002" w14:textId="77777777" w:rsidR="001B2758" w:rsidRDefault="001B2758">
      <w:pPr>
        <w:pStyle w:val="Subtitle"/>
        <w:jc w:val="left"/>
        <w:rPr>
          <w:rFonts w:ascii="Calibri" w:eastAsia="Calibri" w:hAnsi="Calibri" w:cs="Calibri"/>
        </w:rPr>
      </w:pPr>
      <w:bookmarkStart w:id="0" w:name="_wmq8m1884ce2" w:colFirst="0" w:colLast="0"/>
      <w:bookmarkEnd w:id="0"/>
    </w:p>
    <w:p w14:paraId="00000003" w14:textId="77777777" w:rsidR="001B2758" w:rsidRDefault="00000000">
      <w:pPr>
        <w:pStyle w:val="Heading1"/>
        <w:rPr>
          <w:rFonts w:ascii="Calibri" w:eastAsia="Calibri" w:hAnsi="Calibri" w:cs="Calibri"/>
        </w:rPr>
      </w:pPr>
      <w:bookmarkStart w:id="1" w:name="_uirth435i64w" w:colFirst="0" w:colLast="0"/>
      <w:bookmarkEnd w:id="1"/>
      <w:r>
        <w:rPr>
          <w:rFonts w:ascii="Calibri" w:eastAsia="Calibri" w:hAnsi="Calibri" w:cs="Calibri"/>
        </w:rPr>
        <w:t>Approaches to Preventing and Controlling Antimicrobial Resistance</w:t>
      </w:r>
    </w:p>
    <w:p w14:paraId="00000004" w14:textId="77777777" w:rsidR="001B2758" w:rsidRDefault="001B2758">
      <w:pPr>
        <w:pStyle w:val="Subtitle"/>
        <w:rPr>
          <w:rFonts w:ascii="Calibri" w:eastAsia="Calibri" w:hAnsi="Calibri" w:cs="Calibri"/>
        </w:rPr>
      </w:pPr>
      <w:bookmarkStart w:id="2" w:name="_niuu97hci57" w:colFirst="0" w:colLast="0"/>
      <w:bookmarkEnd w:id="2"/>
    </w:p>
    <w:p w14:paraId="00000005" w14:textId="77777777" w:rsidR="001B2758" w:rsidRDefault="00000000">
      <w:pPr>
        <w:pStyle w:val="Subtitle"/>
        <w:rPr>
          <w:rFonts w:ascii="Calibri" w:eastAsia="Calibri" w:hAnsi="Calibri" w:cs="Calibri"/>
        </w:rPr>
      </w:pPr>
      <w:bookmarkStart w:id="3" w:name="_y13ahyv6z6qx" w:colFirst="0" w:colLast="0"/>
      <w:bookmarkEnd w:id="3"/>
      <w:r>
        <w:rPr>
          <w:rFonts w:ascii="Calibri" w:eastAsia="Calibri" w:hAnsi="Calibri" w:cs="Calibri"/>
        </w:rPr>
        <w:t>Kiran Mitra Rodgers</w:t>
      </w:r>
    </w:p>
    <w:p w14:paraId="00000006" w14:textId="77777777" w:rsidR="001B2758" w:rsidRDefault="00000000">
      <w:pPr>
        <w:pStyle w:val="Subtitle"/>
        <w:rPr>
          <w:rFonts w:ascii="Calibri" w:eastAsia="Calibri" w:hAnsi="Calibri" w:cs="Calibri"/>
        </w:rPr>
      </w:pPr>
      <w:bookmarkStart w:id="5" w:name="_i1nehhr3qzkq" w:colFirst="0" w:colLast="0"/>
      <w:bookmarkEnd w:id="5"/>
      <w:r>
        <w:rPr>
          <w:rFonts w:ascii="Calibri" w:eastAsia="Calibri" w:hAnsi="Calibri" w:cs="Calibri"/>
        </w:rPr>
        <w:t>ENG 112</w:t>
      </w:r>
    </w:p>
    <w:p w14:paraId="00000007" w14:textId="77777777" w:rsidR="001B2758" w:rsidRDefault="00000000">
      <w:pPr>
        <w:ind w:firstLine="0"/>
        <w:jc w:val="center"/>
        <w:rPr>
          <w:rFonts w:ascii="Calibri" w:eastAsia="Calibri" w:hAnsi="Calibri" w:cs="Calibri"/>
        </w:rPr>
      </w:pPr>
      <w:r>
        <w:rPr>
          <w:rFonts w:ascii="Calibri" w:eastAsia="Calibri" w:hAnsi="Calibri" w:cs="Calibri"/>
        </w:rPr>
        <w:t>9/27/2026</w:t>
      </w:r>
    </w:p>
    <w:p w14:paraId="00000008" w14:textId="77777777" w:rsidR="001B2758" w:rsidRDefault="00000000">
      <w:pPr>
        <w:ind w:firstLine="0"/>
        <w:jc w:val="center"/>
        <w:rPr>
          <w:rFonts w:ascii="Calibri" w:eastAsia="Calibri" w:hAnsi="Calibri" w:cs="Calibri"/>
        </w:rPr>
      </w:pPr>
      <w:r>
        <w:rPr>
          <w:rFonts w:ascii="Calibri" w:eastAsia="Calibri" w:hAnsi="Calibri" w:cs="Calibri"/>
        </w:rPr>
        <w:t>College of the Albemarle</w:t>
      </w:r>
      <w:r>
        <w:br w:type="page"/>
      </w:r>
    </w:p>
    <w:p w14:paraId="00000009" w14:textId="77777777" w:rsidR="001B2758" w:rsidRDefault="00000000">
      <w:pPr>
        <w:pStyle w:val="Heading1"/>
        <w:rPr>
          <w:b w:val="0"/>
          <w:bCs w:val="0"/>
        </w:rPr>
      </w:pPr>
      <w:bookmarkStart w:id="8" w:name="_mmghdsmfgp4b" w:colFirst="0" w:colLast="0"/>
      <w:bookmarkEnd w:id="8"/>
      <w:r>
        <w:rPr>
          <w:b w:val="0"/>
          <w:bCs w:val="0"/>
        </w:rPr>
        <w:lastRenderedPageBreak/>
        <w:t>Abstract</w:t>
      </w:r>
    </w:p>
    <w:p w14:paraId="0000000A" w14:textId="77777777" w:rsidR="001B2758" w:rsidRDefault="00000000">
      <w:pPr>
        <w:pStyle w:val="Subtitle"/>
        <w:jc w:val="left"/>
      </w:pPr>
      <w:r>
        <w:tab/>
        <w:t>This paper discusses new technologies and strategies to prevent the spread of antimicrobial resistance (AMR). This review paper uses multiple secondary and primary research articles. According to the World Health Organization (2026), AMR has become a major global health threat that needs an immediate response to prevent the situation from worsening further.  To combat this growing problem, many solutions have been created. These solutions include antimicrobial stewardship programs (ASPs) to optimise use of antibiotics (Gohil et al., 2024), ozone wastewater treatment to remove residual antimicrobials (Azuma et al., 2022), and the use of bacteriophages to fight against AMR bacteria (World Health Organization, 2025).</w:t>
      </w:r>
    </w:p>
    <w:p w14:paraId="0000000B" w14:textId="77777777" w:rsidR="001B2758" w:rsidRDefault="001B2758"/>
    <w:p w14:paraId="0000000C" w14:textId="77777777" w:rsidR="001B2758" w:rsidRDefault="001B2758"/>
    <w:p w14:paraId="0000000D" w14:textId="77777777" w:rsidR="001B2758" w:rsidRDefault="001B2758"/>
    <w:p w14:paraId="0000000E" w14:textId="77777777" w:rsidR="001B2758" w:rsidRDefault="001B2758"/>
    <w:p w14:paraId="0000000F" w14:textId="77777777" w:rsidR="001B2758" w:rsidRDefault="001B2758"/>
    <w:p w14:paraId="00000010" w14:textId="77777777" w:rsidR="001B2758" w:rsidRDefault="001B2758"/>
    <w:p w14:paraId="00000011" w14:textId="77777777" w:rsidR="001B2758" w:rsidRDefault="001B2758"/>
    <w:p w14:paraId="00000012" w14:textId="77777777" w:rsidR="001B2758" w:rsidRDefault="001B2758"/>
    <w:p w14:paraId="00000013" w14:textId="77777777" w:rsidR="001B2758" w:rsidRDefault="001B2758"/>
    <w:p w14:paraId="00000014" w14:textId="77777777" w:rsidR="001B2758" w:rsidRDefault="001B2758"/>
    <w:p w14:paraId="00000015" w14:textId="77777777" w:rsidR="001B2758" w:rsidRDefault="001B2758"/>
    <w:p w14:paraId="00000016" w14:textId="77777777" w:rsidR="001B2758" w:rsidRDefault="001B2758">
      <w:pPr>
        <w:ind w:firstLine="0"/>
      </w:pPr>
    </w:p>
    <w:p w14:paraId="00000017" w14:textId="77777777" w:rsidR="001B2758" w:rsidRDefault="001B2758">
      <w:pPr>
        <w:ind w:firstLine="0"/>
      </w:pPr>
    </w:p>
    <w:p w14:paraId="00000018" w14:textId="77777777" w:rsidR="001B2758" w:rsidRDefault="001B2758">
      <w:pPr>
        <w:ind w:firstLine="0"/>
      </w:pPr>
    </w:p>
    <w:p w14:paraId="00000019" w14:textId="77777777" w:rsidR="001B2758" w:rsidRDefault="00000000">
      <w:pPr>
        <w:pStyle w:val="Heading1"/>
        <w:rPr>
          <w:b w:val="0"/>
          <w:bCs w:val="0"/>
        </w:rPr>
      </w:pPr>
      <w:bookmarkStart w:id="10" w:name="_b93qjrz66b1a" w:colFirst="0" w:colLast="0"/>
      <w:bookmarkEnd w:id="10"/>
      <w:r>
        <w:rPr>
          <w:b w:val="0"/>
          <w:bCs w:val="0"/>
        </w:rPr>
        <w:t>Approaches to Preventing and Controlling Antimicrobial Resistance</w:t>
      </w:r>
    </w:p>
    <w:p w14:paraId="0000001A" w14:textId="77777777" w:rsidR="001B2758" w:rsidRDefault="00000000">
      <w:pPr>
        <w:ind w:firstLine="0"/>
      </w:pPr>
      <w:r>
        <w:tab/>
        <w:t xml:space="preserve">Antibiotics are one of the cornerstones of modern medicine, saving lives by making once-deadly bacterial infections treatable. However, the growing threat of antimicrobial resistance (AMR) is now putting these life-saving treatments at risk. </w:t>
      </w:r>
      <w:r>
        <w:t xml:space="preserve">According to Naghavi et al. (2024), in 2021, AMR bacteria were directly responsible for 1.14 million deaths and associated with 4.71 million deaths. </w:t>
      </w:r>
      <w:r>
        <w:t xml:space="preserve">If there are no preventive actions against AMR, this death toll will only increase. The World Health Organization (2019) estimated that the number of deaths will increase to 10 million deaths per year by 2050. As the effectiveness of antibiotics goes down, new approaches are needed to tackle this growing threat. </w:t>
      </w:r>
      <w:r>
        <w:t xml:space="preserve">Emerging technology and strategies offer ways to prevent AMR and develop alternatives to antibiotic treatments. </w:t>
      </w:r>
    </w:p>
    <w:p w14:paraId="0000001B" w14:textId="77777777" w:rsidR="001B2758" w:rsidRDefault="00000000">
      <w:pPr>
        <w:ind w:firstLine="0"/>
      </w:pPr>
      <w:r>
        <w:tab/>
        <w:t xml:space="preserve">AMR occurs when bacteria have evolved to survive exposure to antibiotics that would usually kill them. This happens because antibiotics create a natural selection pressure that allows bacteria to become resistant (Cleveland Clinic, 2023). As a result, the way antibiotics are prescribed can greatly change how AMR is spread. Underprescribing antibiotics can expose bacteria to antibiotics without eliminating the infection, giving bacteria the chance to become resistant without solving the infection. However, overprescribing antibiotics also increases AMR because it creates a highly selective environment that may breed highly resistant bacteria. Mis-prescribing antibiotics is also a common problem that needlessly introduces bacteria to antibiotics (Gohil et al., 2024). According to Irfan et al. (2022), the percentage of inappropriate antibiotic prescribing is “up to 55% in South Africa, 88% in Pakistan, 61% in China, and 15.4% in Canada”. </w:t>
      </w:r>
      <w:r>
        <w:t xml:space="preserve">The problem also extends beyond just prescription and into the environment through </w:t>
      </w:r>
      <w:r>
        <w:lastRenderedPageBreak/>
        <w:t xml:space="preserve">wastewater. </w:t>
      </w:r>
      <w:r>
        <w:t xml:space="preserve">Approximately 30-90% antibiotics are excreted. These residual antibiotics in wastewater can expose other bacteria to antibiotics, causing them to become resistant too (Irfan et al., 2022). This combination of inappropriate use of antibiotics and environmental exposure makes AMR a complex problem that can be addressed through developing new technologies and strategies. </w:t>
      </w:r>
    </w:p>
    <w:p w14:paraId="0000001C" w14:textId="77777777" w:rsidR="001B2758" w:rsidRDefault="00000000">
      <w:pPr>
        <w:ind w:firstLine="0"/>
      </w:pPr>
      <w:r>
        <w:tab/>
      </w:r>
      <w:r>
        <w:t>Because inappropriate use of antibiotics contributes to the development and spread of AMR, one strategy is to improve how antibiotics are prescribed</w:t>
      </w:r>
      <w:r>
        <w:t xml:space="preserve">. Antibiotic stewardship programs (ASPs) promote the proper use of antibiotics by educating healthcare providers on when antibiotics are necessary and ensuring they are appropriately prescribed (CDC, 2024). ASPs can reduce unnecessary antibiotic exposure, which can reduce the selection pressure that creates AMR bacteria. A clinical trial by Gohil et al. (2024) examined the effectiveness of ASPs across 59 hospitals with 96,000 patients. The researchers gave healthcare providers a stewardship program that provided education and personal feedback. </w:t>
      </w:r>
      <w:r>
        <w:t>The researchers found that using a stewardship program reduced the use of antibiotics by 28.4%, but the length of the patients' stays and the number of ICU transfers did not change.</w:t>
      </w:r>
      <w:r>
        <w:t xml:space="preserve"> These findings show that changing how we prescribe antibiotics can reduce unnecessary exposure, thus reducing AMR.</w:t>
      </w:r>
    </w:p>
    <w:p w14:paraId="0000001D" w14:textId="77777777" w:rsidR="001B2758" w:rsidRDefault="00000000">
      <w:r>
        <w:t xml:space="preserve">Although ASPs reduce antibiotic use, they do not eliminate the need for antibiotics </w:t>
      </w:r>
      <w:r>
        <w:t>nor does t</w:t>
      </w:r>
      <w:r>
        <w:t xml:space="preserve">hey prevent the spread of AMR bacteria and residual antibiotics in the environment. To prevent the spread of residual antibiotics, we must find a way to remove them from wastewater. One approach is to treat wastewater with ozone. A study by Azuma et al. (2022) investigated ozone treatment as a method to remove AMR bacteria and antimicrobials from the wastewater of a hospital. The researchers found that 20 minutes of ozone exposure was enough time to kill </w:t>
      </w:r>
      <w:r>
        <w:lastRenderedPageBreak/>
        <w:t>AMR bacteria and that 40 minutes was enough time to remove most antimicrobials. These findings show that treating wastewater with ozone is a promising way to prevent the spread of AMR.</w:t>
      </w:r>
    </w:p>
    <w:p w14:paraId="0000001E" w14:textId="77777777" w:rsidR="001B2758" w:rsidRDefault="00000000">
      <w:pPr>
        <w:ind w:firstLine="0"/>
      </w:pPr>
      <w:r>
        <w:tab/>
        <w:t xml:space="preserve">While ASPs and wastewater treatment can prevent the development of AMR, they do not directly combat AMR bacteria. One proposed way to combat AMR bacteria is through bacteriophages. Bacteriophages are viruses that infect and kill specific bacteria. This method acts as a targeted antimicrobial treatment against the offending bacteria and can actually be used as an antimicrobial. The main advantage of this solution is that it also works against AMR bacteria, giving a way to potentially treat infections caused by AMR bacteria (World Health Organization, 2025). In the study by Wright et al. (2009), the researchers studied the effectiveness of bacteriophages against AMR bacteria. The study was double-blind and included 24 patients infected with AMR bacteria. Twelve patients received the bacteriophage treatment, while the other 12 received a placebo. The researchers found that measurements of the AMR bacteria in the phage group </w:t>
      </w:r>
      <w:r>
        <w:t xml:space="preserve">reduced dramatically. </w:t>
      </w:r>
      <w:r>
        <w:t xml:space="preserve">This study shows the potential of bacteriophages as a new technology to combat AMR bacteria. </w:t>
      </w:r>
    </w:p>
    <w:p w14:paraId="0000001F" w14:textId="77777777" w:rsidR="001B2758" w:rsidRDefault="00000000">
      <w:pPr>
        <w:ind w:firstLine="0"/>
      </w:pPr>
      <w:r>
        <w:tab/>
        <w:t xml:space="preserve">Antibiotic resistance is a growing threat to modern medicine. It is causing once-treatable infections to become increasingly hard to manage. AMR is taking millions of lives per year and is projected to kill even more people if we do not act. However, AMR does not have one simple solution because it is a complex problem. Instead, it requires the development of many new strategies and technologies to combat AMR. </w:t>
      </w:r>
      <w:r>
        <w:t>Solutions include antimicrobial stewardship programs to optimize antibiotics, wastewater to reduce antibiotics, and promising alternatives such as bacteriophages</w:t>
      </w:r>
      <w:r>
        <w:t xml:space="preserve">. Together, these solutions demonstrate how combining new technology </w:t>
      </w:r>
      <w:r>
        <w:lastRenderedPageBreak/>
        <w:t xml:space="preserve">and effective strategies can finally address AMR. As AMR continues to threaten global health, we can develop and implement new technologies to combat it.  </w:t>
      </w:r>
    </w:p>
    <w:p w14:paraId="00000020" w14:textId="77777777" w:rsidR="001B2758" w:rsidRDefault="001B2758">
      <w:pPr>
        <w:ind w:firstLine="0"/>
        <w:rPr>
          <w:b/>
          <w:bCs/>
        </w:rPr>
      </w:pPr>
    </w:p>
    <w:p w14:paraId="00000021" w14:textId="77777777" w:rsidR="001B2758" w:rsidRDefault="001B2758">
      <w:pPr>
        <w:pStyle w:val="Subtitle"/>
        <w:jc w:val="left"/>
      </w:pPr>
    </w:p>
    <w:p w14:paraId="00000022" w14:textId="77777777" w:rsidR="001B2758" w:rsidRDefault="00000000">
      <w:pPr>
        <w:pStyle w:val="Heading2"/>
        <w:rPr>
          <w:rFonts w:ascii="Calibri" w:eastAsia="Calibri" w:hAnsi="Calibri" w:cs="Calibri"/>
        </w:rPr>
      </w:pPr>
      <w:bookmarkStart w:id="20" w:name="_lfzcyiycrtwj" w:colFirst="0" w:colLast="0"/>
      <w:bookmarkEnd w:id="20"/>
      <w:r>
        <w:rPr>
          <w:rFonts w:ascii="Calibri" w:eastAsia="Calibri" w:hAnsi="Calibri" w:cs="Calibri"/>
        </w:rPr>
        <w:t>References</w:t>
      </w:r>
    </w:p>
    <w:p w14:paraId="00000023" w14:textId="77777777" w:rsidR="001B2758" w:rsidRDefault="00000000">
      <w:pPr>
        <w:ind w:left="720" w:hanging="720"/>
      </w:pPr>
      <w:r>
        <w:t xml:space="preserve">Azuma, T., Katagiri, M., Sekizuka, T., Kuroda, M., &amp; Watanabe, M. (2022). Inactivation of bacteria and residual antimicrobials in hospital wastewater by ozone treatment. </w:t>
      </w:r>
      <w:r>
        <w:rPr>
          <w:i/>
          <w:iCs/>
        </w:rPr>
        <w:t>Antibiotics (Basel, Switzerland)</w:t>
      </w:r>
      <w:r>
        <w:t xml:space="preserve">, </w:t>
      </w:r>
      <w:r>
        <w:rPr>
          <w:i/>
          <w:iCs/>
        </w:rPr>
        <w:t>11</w:t>
      </w:r>
      <w:r>
        <w:t xml:space="preserve">(7), 862. </w:t>
      </w:r>
      <w:r>
        <w:t xml:space="preserve">PubMed. </w:t>
      </w:r>
      <w:r>
        <w:t>https://doi.org/10.3390/antibiotics11070862</w:t>
      </w:r>
    </w:p>
    <w:p w14:paraId="00000024" w14:textId="77777777" w:rsidR="001B2758" w:rsidRDefault="00000000">
      <w:pPr>
        <w:ind w:left="720" w:hanging="720"/>
      </w:pPr>
      <w:r>
        <w:t>CDC. (</w:t>
      </w:r>
      <w:r>
        <w:t xml:space="preserve">2024, April 22). </w:t>
      </w:r>
      <w:r>
        <w:rPr>
          <w:i/>
          <w:iCs/>
        </w:rPr>
        <w:t>Antibiotic use and antimicrobial resistance facts</w:t>
      </w:r>
      <w:r>
        <w:t>. Antibiotic Prescribing and Use. https://www.cdc.gov/antibiotic-use/data-research/facts-stats/index.html</w:t>
      </w:r>
    </w:p>
    <w:p w14:paraId="00000025" w14:textId="77777777" w:rsidR="001B2758" w:rsidRDefault="00000000">
      <w:pPr>
        <w:ind w:left="720" w:hanging="720"/>
      </w:pPr>
      <w:r>
        <w:t xml:space="preserve">Cleveland Clinic. (2023, October 19). </w:t>
      </w:r>
      <w:r>
        <w:rPr>
          <w:i/>
          <w:iCs/>
        </w:rPr>
        <w:t>Antibiotic resistance</w:t>
      </w:r>
      <w:r>
        <w:t xml:space="preserve">. </w:t>
      </w:r>
      <w:r>
        <w:t>Cleveland Clinic</w:t>
      </w:r>
      <w:r>
        <w:t>. https://my.clevelandclinic.org/health/articles/21655-antibiotic-resistance</w:t>
      </w:r>
    </w:p>
    <w:p w14:paraId="00000026" w14:textId="77777777" w:rsidR="001B2758" w:rsidRDefault="00000000">
      <w:pPr>
        <w:ind w:left="720" w:hanging="720"/>
      </w:pPr>
      <w:r>
        <w:t xml:space="preserve">Gohil, S. K., Septimus, E., Kleinman, K., Varma, N., Avery, T. R., Heim, L., Rahm, R., Cooper, W. S., Cooper, M., McLean, L. E., Nickolay, N. G., Weinstein, R. A., Hayley, B. L., Coady, M. H., Rosen, E., Sljivo, S., Sands, K. E., Moody, J., Vigeant, J., … Huang, S. S. (2024). Stewardship prompts to improve antibiotic selection for pneumonia: The INSPIRE randomized clinical trial. </w:t>
      </w:r>
      <w:r>
        <w:rPr>
          <w:i/>
          <w:iCs/>
        </w:rPr>
        <w:t>JAMA</w:t>
      </w:r>
      <w:r>
        <w:t xml:space="preserve">, </w:t>
      </w:r>
      <w:r>
        <w:rPr>
          <w:i/>
          <w:iCs/>
        </w:rPr>
        <w:t>331</w:t>
      </w:r>
      <w:r>
        <w:t>(23), 2007–2017. https://doi.org/10.1001/jama.2024.6248</w:t>
      </w:r>
    </w:p>
    <w:p w14:paraId="00000027" w14:textId="77777777" w:rsidR="001B2758" w:rsidRDefault="00000000">
      <w:pPr>
        <w:ind w:left="720" w:hanging="720"/>
      </w:pPr>
      <w:r>
        <w:t xml:space="preserve">Irfan, M., Almotiri, A., &amp; AlZeyadi, Z. A. (2022). Antimicrobial resistance and its drivers—A review. </w:t>
      </w:r>
      <w:r>
        <w:rPr>
          <w:i/>
          <w:iCs/>
        </w:rPr>
        <w:t>Antibiotics</w:t>
      </w:r>
      <w:r>
        <w:t xml:space="preserve">, </w:t>
      </w:r>
      <w:r>
        <w:rPr>
          <w:i/>
          <w:iCs/>
        </w:rPr>
        <w:t>11</w:t>
      </w:r>
      <w:r>
        <w:t>(10), 1362. https://doi.org/10.3390/antibiotics11101362</w:t>
      </w:r>
    </w:p>
    <w:p w14:paraId="00000028" w14:textId="77777777" w:rsidR="001B2758" w:rsidRDefault="00000000">
      <w:pPr>
        <w:ind w:left="720" w:hanging="720"/>
      </w:pPr>
      <w:r>
        <w:t xml:space="preserve">Naghavi, M., Vollset, S. E., Ikuta, K. S., Swetschinski, L. R., Gray, A. P., Wool, E. E., Robles </w:t>
      </w:r>
      <w:r>
        <w:lastRenderedPageBreak/>
        <w:t xml:space="preserve">Aguilar, G., Mestrovic, T., Smith, G., Han, C., Hsu, R. L., Chalek, J., Araki, D. T., Chung, E., Raggi, C., Gershberg Hayoon, A., Davis Weaver, N., Lindstedt, P. A., Smith, A. E., … Murray, C. J. L. (2024). Global burden of bacterial antimicrobial resistance 1990–2021: A systematic analysis with forecasts to 2050. </w:t>
      </w:r>
      <w:r>
        <w:rPr>
          <w:i/>
          <w:iCs/>
        </w:rPr>
        <w:t>The Lancet</w:t>
      </w:r>
      <w:r>
        <w:t xml:space="preserve">, </w:t>
      </w:r>
      <w:r>
        <w:rPr>
          <w:i/>
          <w:iCs/>
        </w:rPr>
        <w:t>404</w:t>
      </w:r>
      <w:r>
        <w:t>(10459), 1199–1226. https://doi.org/10.1016/s0140-6736(24)01867-1</w:t>
      </w:r>
    </w:p>
    <w:p w14:paraId="00000029" w14:textId="77777777" w:rsidR="001B2758" w:rsidRDefault="00000000">
      <w:pPr>
        <w:ind w:left="720" w:hanging="720"/>
      </w:pPr>
      <w:r>
        <w:t xml:space="preserve">WHO. (2019, April 29). </w:t>
      </w:r>
      <w:r>
        <w:rPr>
          <w:i/>
          <w:iCs/>
        </w:rPr>
        <w:t xml:space="preserve">New report calls </w:t>
      </w:r>
      <w:r>
        <w:rPr>
          <w:i/>
          <w:iCs/>
        </w:rPr>
        <w:t>for urgent action to avert antimicrobial resistance crisis</w:t>
      </w:r>
      <w:r>
        <w:t>. WHO. Www.Who.Int. https://www.who.int/news/item/29-04-2019-new-report-calls-for-urgent-action-to-avert-antimicrobial-resistance-crisis</w:t>
      </w:r>
    </w:p>
    <w:p w14:paraId="0000002A" w14:textId="77777777" w:rsidR="001B2758" w:rsidRDefault="00000000">
      <w:pPr>
        <w:ind w:left="720" w:hanging="720"/>
      </w:pPr>
      <w:r>
        <w:t xml:space="preserve">World Health Organization. (2025, February 17). </w:t>
      </w:r>
      <w:r>
        <w:rPr>
          <w:i/>
          <w:iCs/>
        </w:rPr>
        <w:t>Bacteriophages and their use in combating antimicrobial resistance</w:t>
      </w:r>
      <w:r>
        <w:t>. World Health Organization: WHO. Who.Int. https://www.who.int/europe/news-room/fact-sheets/item/bacteriophages-and-their-use-in-combating-antimicrobial-resistance</w:t>
      </w:r>
    </w:p>
    <w:p w14:paraId="0000002B" w14:textId="77777777" w:rsidR="001B2758" w:rsidRDefault="00000000">
      <w:pPr>
        <w:ind w:left="720" w:hanging="720"/>
      </w:pPr>
      <w:r>
        <w:t xml:space="preserve">World Health Organization. (2026, July 16). </w:t>
      </w:r>
      <w:r>
        <w:rPr>
          <w:i/>
          <w:iCs/>
        </w:rPr>
        <w:t>Antimicrobial resistance</w:t>
      </w:r>
      <w:r>
        <w:t>. World Health Organization. https://www.who.int/news-room/fact-sheets/detail/antimicrobial-resistance</w:t>
      </w:r>
    </w:p>
    <w:p w14:paraId="0000002C" w14:textId="77777777" w:rsidR="001B2758" w:rsidRDefault="00000000">
      <w:pPr>
        <w:ind w:left="720" w:hanging="720"/>
      </w:pPr>
      <w:r>
        <w:t xml:space="preserve">Wright, A., Hawkins, C. H., Änggård, E. E., &amp; Harper, D. R. (2009). A controlled clinical trial of a therapeutic bacteriophage preparation in chronic otitis due to antibiotic-resistantPseudomonas aeruginosa; a preliminary report of efficacy. </w:t>
      </w:r>
      <w:r>
        <w:rPr>
          <w:i/>
          <w:iCs/>
        </w:rPr>
        <w:t>Clinical Otolaryngology</w:t>
      </w:r>
      <w:r>
        <w:t xml:space="preserve">, </w:t>
      </w:r>
      <w:r>
        <w:rPr>
          <w:i/>
          <w:iCs/>
        </w:rPr>
        <w:t>34</w:t>
      </w:r>
      <w:r>
        <w:t>(4), 349–357. https://doi.org/10.1111/j.1749-4486.2009.01973.x</w:t>
      </w:r>
    </w:p>
    <w:p w14:paraId="0000002D" w14:textId="77777777" w:rsidR="001B2758" w:rsidRDefault="001B2758">
      <w:pPr>
        <w:ind w:left="720" w:hanging="720"/>
        <w:rPr>
          <w:rFonts w:ascii="Calibri" w:eastAsia="Calibri" w:hAnsi="Calibri" w:cs="Calibri"/>
        </w:rPr>
      </w:pPr>
    </w:p>
    <w:p w14:paraId="72E88ABE" w14:textId="77777777" w:rsidR="00412C5E" w:rsidRDefault="00412C5E">
      <w:pPr>
        <w:ind w:left="720" w:hanging="720"/>
        <w:rPr>
          <w:rFonts w:ascii="Calibri" w:eastAsia="Calibri" w:hAnsi="Calibri" w:cs="Calibri"/>
        </w:rPr>
      </w:pPr>
    </w:p>
    <w:p w14:paraId="7D2B5678" w14:textId="77777777" w:rsidR="00412C5E" w:rsidRDefault="00412C5E">
      <w:pPr>
        <w:ind w:left="720" w:hanging="720"/>
        <w:rPr>
          <w:rFonts w:ascii="Calibri" w:eastAsia="Calibri" w:hAnsi="Calibri" w:cs="Calibri"/>
        </w:rPr>
      </w:pPr>
    </w:p>
    <w:p w14:paraId="4A48C75D" w14:textId="77777777" w:rsidR="00412C5E" w:rsidRDefault="00412C5E" w:rsidP="00693A75">
      <w:pPr>
        <w:ind w:firstLine="0"/>
        <w:rPr>
          <w:rFonts w:ascii="Calibri" w:eastAsia="Calibri" w:hAnsi="Calibri" w:cs="Calibri"/>
        </w:rPr>
      </w:pPr>
    </w:p>
    <w:p w14:paraId="7779D0A0" w14:textId="62080B66" w:rsidR="00412C5E" w:rsidRDefault="00693A75">
      <w:pPr>
        <w:ind w:left="720" w:hanging="720"/>
        <w:rPr>
          <w:rFonts w:ascii="Calibri" w:eastAsia="Calibri" w:hAnsi="Calibri" w:cs="Calibri"/>
        </w:rPr>
      </w:pPr>
      <w:r>
        <w:rPr>
          <w:rStyle w:val="EndnoteReference"/>
          <w:rFonts w:ascii="Calibri" w:eastAsia="Calibri" w:hAnsi="Calibri" w:cs="Calibri"/>
        </w:rPr>
        <w:lastRenderedPageBreak/>
        <w:endnoteReference w:id="1"/>
      </w:r>
    </w:p>
    <w:sectPr w:rsidR="00412C5E">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A25CD8" w14:textId="77777777" w:rsidR="00016D5D" w:rsidRDefault="00016D5D">
      <w:pPr>
        <w:spacing w:line="240" w:lineRule="auto"/>
      </w:pPr>
      <w:r>
        <w:separator/>
      </w:r>
    </w:p>
  </w:endnote>
  <w:endnote w:type="continuationSeparator" w:id="0">
    <w:p w14:paraId="7111F7DC" w14:textId="77777777" w:rsidR="00016D5D" w:rsidRDefault="00016D5D">
      <w:pPr>
        <w:spacing w:line="240" w:lineRule="auto"/>
      </w:pPr>
      <w:r>
        <w:continuationSeparator/>
      </w:r>
    </w:p>
  </w:endnote>
  <w:endnote w:id="1">
    <w:p w14:paraId="592D40DC" w14:textId="3B55E891" w:rsidR="00693A75" w:rsidRPr="00225806" w:rsidRDefault="00693A75" w:rsidP="00693A75">
      <w:pPr>
        <w:pStyle w:val="EndnoteText"/>
        <w:spacing w:line="480" w:lineRule="auto"/>
        <w:rPr>
          <w:b/>
          <w:bCs/>
        </w:rPr>
      </w:pPr>
      <w:r w:rsidRPr="00225806">
        <w:rPr>
          <w:rStyle w:val="EndnoteReference"/>
          <w:b/>
          <w:bCs/>
        </w:rPr>
        <w:endnoteRef/>
      </w:r>
      <w:r w:rsidRPr="00225806">
        <w:rPr>
          <w:b/>
          <w:bCs/>
        </w:rPr>
        <w:t xml:space="preserve"> </w:t>
      </w:r>
      <w:r w:rsidRPr="00225806">
        <w:rPr>
          <w:b/>
          <w:bCs/>
          <w:color w:val="C00000"/>
        </w:rPr>
        <w:t xml:space="preserve">Dear Kiran, </w:t>
      </w:r>
    </w:p>
    <w:p w14:paraId="1F43DAD6" w14:textId="13D122B5" w:rsidR="00693A75" w:rsidRPr="00693A75" w:rsidRDefault="00693A75" w:rsidP="00693A75">
      <w:pPr>
        <w:pStyle w:val="EndnoteText"/>
        <w:spacing w:line="480" w:lineRule="auto"/>
        <w:rPr>
          <w:color w:val="C00000"/>
        </w:rPr>
      </w:pPr>
      <w:r w:rsidRPr="00693A75">
        <w:rPr>
          <w:color w:val="C00000"/>
        </w:rPr>
        <w:t>Thank you for submitting in your paper. You need to focus on:</w:t>
      </w:r>
    </w:p>
    <w:p w14:paraId="092EFEDD" w14:textId="77777777" w:rsidR="00693A75" w:rsidRPr="00693A75" w:rsidRDefault="00693A75" w:rsidP="00693A75">
      <w:pPr>
        <w:pStyle w:val="EndnoteText"/>
        <w:spacing w:line="480" w:lineRule="auto"/>
        <w:rPr>
          <w:b/>
          <w:bCs/>
          <w:color w:val="C00000"/>
        </w:rPr>
      </w:pPr>
      <w:r w:rsidRPr="00693A75">
        <w:rPr>
          <w:b/>
          <w:bCs/>
          <w:color w:val="C00000"/>
        </w:rPr>
        <w:t>Thesis and overall focus:</w:t>
      </w:r>
    </w:p>
    <w:p w14:paraId="6AF423D2" w14:textId="77777777" w:rsidR="00693A75" w:rsidRPr="00693A75" w:rsidRDefault="00693A75" w:rsidP="00693A75">
      <w:pPr>
        <w:pStyle w:val="EndnoteText"/>
        <w:spacing w:line="480" w:lineRule="auto"/>
        <w:rPr>
          <w:color w:val="C00000"/>
        </w:rPr>
      </w:pPr>
      <w:r w:rsidRPr="00693A75">
        <w:rPr>
          <w:color w:val="C00000"/>
        </w:rPr>
        <w:t>Your introduction does a great job of describing the problem of antimicrobial resistance. However, your thesis is a little vague and does not clearly preview the direction of your essay. Since you only go into detail in three areas, I suggest you broaden your thesis statement to include each of those three areas in your approach. This will help to clarify the focus of your paper for the reader.</w:t>
      </w:r>
    </w:p>
    <w:p w14:paraId="330F30B1" w14:textId="77777777" w:rsidR="00693A75" w:rsidRPr="00693A75" w:rsidRDefault="00693A75" w:rsidP="00693A75">
      <w:pPr>
        <w:pStyle w:val="EndnoteText"/>
        <w:spacing w:line="480" w:lineRule="auto"/>
        <w:rPr>
          <w:color w:val="C00000"/>
        </w:rPr>
      </w:pPr>
    </w:p>
    <w:p w14:paraId="68CBC473" w14:textId="77777777" w:rsidR="00693A75" w:rsidRPr="00693A75" w:rsidRDefault="00693A75" w:rsidP="00693A75">
      <w:pPr>
        <w:pStyle w:val="EndnoteText"/>
        <w:spacing w:line="480" w:lineRule="auto"/>
        <w:rPr>
          <w:b/>
          <w:bCs/>
          <w:color w:val="C00000"/>
        </w:rPr>
      </w:pPr>
      <w:r w:rsidRPr="00693A75">
        <w:rPr>
          <w:b/>
          <w:bCs/>
          <w:color w:val="C00000"/>
        </w:rPr>
        <w:t>Evidence and analysis:</w:t>
      </w:r>
    </w:p>
    <w:p w14:paraId="6C3C5AEC" w14:textId="77777777" w:rsidR="00693A75" w:rsidRPr="00693A75" w:rsidRDefault="00693A75" w:rsidP="00693A75">
      <w:pPr>
        <w:pStyle w:val="EndnoteText"/>
        <w:spacing w:line="480" w:lineRule="auto"/>
        <w:rPr>
          <w:color w:val="C00000"/>
        </w:rPr>
      </w:pPr>
      <w:r w:rsidRPr="00693A75">
        <w:rPr>
          <w:color w:val="C00000"/>
        </w:rPr>
        <w:t>You have described the stewardship-program study, the ozone-treatment study, and bacteriophage research. However, in some places, it seems like you are jump from these results to other ideas without giving the reader a bit of time to understand the implications and meaning of these results. When you do present some solid evidence, try to provide some analysis of what this means and how this leads to your main point in that paragraph. This will help to keep your paper at an analytical level instead of a more descriptive level.</w:t>
      </w:r>
    </w:p>
    <w:p w14:paraId="62790632" w14:textId="77777777" w:rsidR="00693A75" w:rsidRPr="00693A75" w:rsidRDefault="00693A75" w:rsidP="00693A75">
      <w:pPr>
        <w:pStyle w:val="EndnoteText"/>
        <w:spacing w:line="480" w:lineRule="auto"/>
        <w:rPr>
          <w:color w:val="C00000"/>
        </w:rPr>
      </w:pPr>
    </w:p>
    <w:p w14:paraId="57EF8CBF" w14:textId="77777777" w:rsidR="00693A75" w:rsidRPr="00693A75" w:rsidRDefault="00693A75" w:rsidP="00693A75">
      <w:pPr>
        <w:pStyle w:val="EndnoteText"/>
        <w:spacing w:line="480" w:lineRule="auto"/>
        <w:rPr>
          <w:b/>
          <w:bCs/>
          <w:color w:val="C00000"/>
        </w:rPr>
      </w:pPr>
      <w:r w:rsidRPr="00693A75">
        <w:rPr>
          <w:b/>
          <w:bCs/>
          <w:color w:val="C00000"/>
        </w:rPr>
        <w:t>Conclusion and synthesis:</w:t>
      </w:r>
    </w:p>
    <w:p w14:paraId="1BF75A66" w14:textId="77777777" w:rsidR="00693A75" w:rsidRPr="00693A75" w:rsidRDefault="00693A75" w:rsidP="00693A75">
      <w:pPr>
        <w:pStyle w:val="EndnoteText"/>
        <w:spacing w:line="480" w:lineRule="auto"/>
        <w:rPr>
          <w:color w:val="C00000"/>
        </w:rPr>
      </w:pPr>
      <w:r w:rsidRPr="00693A75">
        <w:rPr>
          <w:color w:val="C00000"/>
        </w:rPr>
        <w:t>You mention the 3 approaches in your conclusion. However, you only restate the approaches but do not add anything further. Instead, maybe you could talk about how these 3 approaches need to be followed to effectively address antimicrobial resistance. I think this would help the reader come to with a strong conclusion about your main points and ideas.</w:t>
      </w:r>
    </w:p>
    <w:p w14:paraId="7B53BAD1" w14:textId="77777777" w:rsidR="00693A75" w:rsidRPr="00693A75" w:rsidRDefault="00693A75" w:rsidP="00693A75">
      <w:pPr>
        <w:pStyle w:val="EndnoteText"/>
        <w:spacing w:line="480" w:lineRule="auto"/>
        <w:rPr>
          <w:color w:val="C00000"/>
        </w:rPr>
      </w:pPr>
    </w:p>
    <w:p w14:paraId="69AA3A78" w14:textId="5632D3DE" w:rsidR="00693A75" w:rsidRDefault="00693A75" w:rsidP="00693A75">
      <w:pPr>
        <w:pStyle w:val="EndnoteText"/>
        <w:spacing w:line="480" w:lineRule="auto"/>
        <w:rPr>
          <w:color w:val="C00000"/>
        </w:rPr>
      </w:pPr>
      <w:r w:rsidRPr="00693A75">
        <w:rPr>
          <w:color w:val="C00000"/>
        </w:rPr>
        <w:t>I hope this feedback is helpful.</w:t>
      </w:r>
    </w:p>
    <w:p w14:paraId="301C2B64" w14:textId="41AB98AE" w:rsidR="00693A75" w:rsidRDefault="00693A75" w:rsidP="00693A75">
      <w:pPr>
        <w:pStyle w:val="EndnoteText"/>
        <w:spacing w:line="480" w:lineRule="auto"/>
        <w:rPr>
          <w:color w:val="C00000"/>
        </w:rPr>
      </w:pPr>
      <w:r>
        <w:rPr>
          <w:color w:val="C00000"/>
        </w:rPr>
        <w:t xml:space="preserve">All the best. </w:t>
      </w:r>
    </w:p>
    <w:p w14:paraId="6602B903" w14:textId="46734509" w:rsidR="00693A75" w:rsidRPr="00693A75" w:rsidRDefault="00693A75" w:rsidP="00693A75">
      <w:pPr>
        <w:pStyle w:val="EndnoteText"/>
        <w:spacing w:line="480" w:lineRule="auto"/>
        <w:rPr>
          <w:color w:val="C00000"/>
          <w:lang w:val="en-US"/>
        </w:rPr>
      </w:pPr>
      <w:r>
        <w:rPr>
          <w:color w:val="C00000"/>
        </w:rPr>
        <w:t>Raunak Banga</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88221D7F-BE80-724F-B162-9AF40C0014B0}"/>
  </w:font>
  <w:font w:name="Times New Roman">
    <w:panose1 w:val="02020603050405020304"/>
    <w:charset w:val="00"/>
    <w:family w:val="roman"/>
    <w:pitch w:val="variable"/>
    <w:sig w:usb0="E0002EFF" w:usb1="C000785B" w:usb2="00000009" w:usb3="00000000" w:csb0="000001FF" w:csb1="00000000"/>
    <w:embedRegular r:id="rId2" w:fontKey="{AFB47B47-F3B5-2242-9F7A-E5513803E94C}"/>
    <w:embedBold r:id="rId3" w:fontKey="{AE1E7DC8-A91A-6E48-9738-5DA2EBDC16B1}"/>
    <w:embedItalic r:id="rId4" w:fontKey="{20F94AAA-FD30-9E42-9B19-FD518031A6B8}"/>
  </w:font>
  <w:font w:name="Courier New">
    <w:panose1 w:val="02070309020205020404"/>
    <w:charset w:val="00"/>
    <w:family w:val="modern"/>
    <w:pitch w:val="fixed"/>
    <w:sig w:usb0="E0002AFF" w:usb1="C0007843" w:usb2="00000009" w:usb3="00000000" w:csb0="000001FF" w:csb1="00000000"/>
    <w:embedRegular r:id="rId5" w:fontKey="{88E373A3-EC85-4748-AEC2-80B8555CC013}"/>
  </w:font>
  <w:font w:name="Wingdings">
    <w:panose1 w:val="05000000000000000000"/>
    <w:charset w:val="4D"/>
    <w:family w:val="decorative"/>
    <w:pitch w:val="variable"/>
    <w:sig w:usb0="00000003" w:usb1="00000000" w:usb2="00000000" w:usb3="00000000" w:csb0="80000001" w:csb1="00000000"/>
    <w:embedRegular r:id="rId6" w:fontKey="{806988C0-63FA-E54D-B654-2D4B117D7ACE}"/>
  </w:font>
  <w:font w:name="Calibri">
    <w:panose1 w:val="020F0502020204030204"/>
    <w:charset w:val="00"/>
    <w:family w:val="swiss"/>
    <w:pitch w:val="variable"/>
    <w:sig w:usb0="E0002AFF" w:usb1="C000247B" w:usb2="00000009" w:usb3="00000000" w:csb0="000001FF" w:csb1="00000000"/>
    <w:embedRegular r:id="rId7" w:fontKey="{7D8ECE20-7AF2-3B43-AC10-BF1F59D834A6}"/>
    <w:embedBold r:id="rId8" w:fontKey="{9ECB916A-7C6B-4140-93B7-41C6629DD003}"/>
  </w:font>
  <w:font w:name="Cambria">
    <w:panose1 w:val="02040503050406030204"/>
    <w:charset w:val="00"/>
    <w:family w:val="roman"/>
    <w:pitch w:val="variable"/>
    <w:sig w:usb0="E00002FF" w:usb1="400004FF" w:usb2="00000000" w:usb3="00000000" w:csb0="0000019F" w:csb1="00000000"/>
    <w:embedRegular r:id="rId9" w:fontKey="{421EB7C1-1AEF-254A-BA28-C9D3783A81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33" w14:textId="77777777" w:rsidR="001B2758" w:rsidRDefault="001B2758">
    <w:pPr>
      <w:pBdr>
        <w:top w:val="nil"/>
        <w:left w:val="nil"/>
        <w:bottom w:val="nil"/>
        <w:right w:val="nil"/>
        <w:between w:val="nil"/>
      </w:pBdr>
      <w:tabs>
        <w:tab w:val="center" w:pos="4320"/>
        <w:tab w:val="right" w:pos="864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34" w14:textId="77777777" w:rsidR="001B2758" w:rsidRDefault="001B2758">
    <w:pPr>
      <w:pBdr>
        <w:top w:val="nil"/>
        <w:left w:val="nil"/>
        <w:bottom w:val="nil"/>
        <w:right w:val="nil"/>
        <w:between w:val="nil"/>
      </w:pBdr>
      <w:tabs>
        <w:tab w:val="center" w:pos="4320"/>
        <w:tab w:val="right" w:pos="864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35" w14:textId="77777777" w:rsidR="001B2758" w:rsidRDefault="001B275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CE21F9" w14:textId="77777777" w:rsidR="00016D5D" w:rsidRDefault="00016D5D">
      <w:pPr>
        <w:spacing w:line="240" w:lineRule="auto"/>
      </w:pPr>
      <w:r>
        <w:separator/>
      </w:r>
    </w:p>
  </w:footnote>
  <w:footnote w:type="continuationSeparator" w:id="0">
    <w:p w14:paraId="53946259" w14:textId="77777777" w:rsidR="00016D5D" w:rsidRDefault="00016D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2E" w14:textId="77777777" w:rsidR="001B2758" w:rsidRDefault="001B2758">
    <w:pPr>
      <w:pBdr>
        <w:top w:val="nil"/>
        <w:left w:val="nil"/>
        <w:bottom w:val="nil"/>
        <w:right w:val="nil"/>
        <w:between w:val="nil"/>
      </w:pBdr>
      <w:tabs>
        <w:tab w:val="center" w:pos="4320"/>
        <w:tab w:val="right" w:pos="864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2F" w14:textId="77777777" w:rsidR="001B2758" w:rsidRDefault="001B2758">
    <w:pPr>
      <w:tabs>
        <w:tab w:val="right" w:pos="9360"/>
      </w:tabs>
      <w:ind w:firstLine="0"/>
    </w:pPr>
  </w:p>
  <w:p w14:paraId="00000030" w14:textId="3B0C4DFA" w:rsidR="001B2758" w:rsidRDefault="00000000">
    <w:pPr>
      <w:tabs>
        <w:tab w:val="right" w:pos="9360"/>
      </w:tabs>
      <w:ind w:firstLine="0"/>
      <w:rPr>
        <w:rFonts w:ascii="Calibri" w:eastAsia="Calibri" w:hAnsi="Calibri" w:cs="Calibri"/>
      </w:rPr>
    </w:pPr>
    <w:r>
      <w:rPr>
        <w:rFonts w:ascii="Calibri" w:eastAsia="Calibri" w:hAnsi="Calibri" w:cs="Calibri"/>
      </w:rPr>
      <w:tab/>
    </w: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C41BA2">
      <w:rPr>
        <w:rFonts w:ascii="Calibri" w:eastAsia="Calibri" w:hAnsi="Calibri" w:cs="Calibri"/>
        <w:noProof/>
      </w:rPr>
      <w:t>2</w:t>
    </w:r>
    <w:r>
      <w:rPr>
        <w:rFonts w:ascii="Calibri" w:eastAsia="Calibri" w:hAnsi="Calibri" w:cs="Calibri"/>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31" w14:textId="77777777" w:rsidR="001B2758" w:rsidRDefault="001B2758">
    <w:pPr>
      <w:ind w:firstLine="0"/>
    </w:pPr>
  </w:p>
  <w:p w14:paraId="00000032" w14:textId="4DD289CA" w:rsidR="001B2758" w:rsidRDefault="00000000">
    <w:pPr>
      <w:tabs>
        <w:tab w:val="left" w:pos="9090"/>
      </w:tabs>
      <w:ind w:firstLine="0"/>
    </w:pPr>
    <w:r>
      <w:tab/>
    </w:r>
    <w:r>
      <w:fldChar w:fldCharType="begin"/>
    </w:r>
    <w:r>
      <w:instrText>PAGE</w:instrText>
    </w:r>
    <w:r>
      <w:fldChar w:fldCharType="separate"/>
    </w:r>
    <w:r w:rsidR="00C41BA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B93166E"/>
    <w:multiLevelType w:val="multilevel"/>
    <w:tmpl w:val="64F6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19526F"/>
    <w:multiLevelType w:val="multilevel"/>
    <w:tmpl w:val="6842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07343D"/>
    <w:multiLevelType w:val="multilevel"/>
    <w:tmpl w:val="71F2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308255">
    <w:abstractNumId w:val="0"/>
  </w:num>
  <w:num w:numId="2" w16cid:durableId="1111901458">
    <w:abstractNumId w:val="1"/>
  </w:num>
  <w:num w:numId="3" w16cid:durableId="177551163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aunak Banga">
    <w15:presenceInfo w15:providerId="None" w15:userId="Raunak Bang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66"/>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758"/>
    <w:rsid w:val="00016D5D"/>
    <w:rsid w:val="00054808"/>
    <w:rsid w:val="0006381A"/>
    <w:rsid w:val="000D494A"/>
    <w:rsid w:val="001444FF"/>
    <w:rsid w:val="00184A1D"/>
    <w:rsid w:val="001B2758"/>
    <w:rsid w:val="00225806"/>
    <w:rsid w:val="00370A15"/>
    <w:rsid w:val="00412C5E"/>
    <w:rsid w:val="0048745D"/>
    <w:rsid w:val="00496FEC"/>
    <w:rsid w:val="0062107E"/>
    <w:rsid w:val="00626138"/>
    <w:rsid w:val="006873B2"/>
    <w:rsid w:val="00693A75"/>
    <w:rsid w:val="006F1F41"/>
    <w:rsid w:val="00805A56"/>
    <w:rsid w:val="008C2AF2"/>
    <w:rsid w:val="00931DB0"/>
    <w:rsid w:val="00B12718"/>
    <w:rsid w:val="00B129CB"/>
    <w:rsid w:val="00C41B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B1101"/>
  <w15:docId w15:val="{45886793-CDB1-EC46-A853-4F35C6C78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widowControl w:val="0"/>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firstLine="0"/>
      <w:jc w:val="center"/>
      <w:outlineLvl w:val="0"/>
    </w:pPr>
    <w:rPr>
      <w:b/>
      <w:bCs/>
    </w:rPr>
  </w:style>
  <w:style w:type="paragraph" w:styleId="Heading2">
    <w:name w:val="heading 2"/>
    <w:basedOn w:val="Normal"/>
    <w:next w:val="Normal"/>
    <w:uiPriority w:val="9"/>
    <w:unhideWhenUsed/>
    <w:qFormat/>
    <w:pPr>
      <w:ind w:firstLine="0"/>
      <w:jc w:val="center"/>
      <w:outlineLvl w:val="1"/>
    </w:pPr>
    <w:rPr>
      <w:b/>
      <w:bCs/>
    </w:rPr>
  </w:style>
  <w:style w:type="paragraph" w:styleId="Heading3">
    <w:name w:val="heading 3"/>
    <w:basedOn w:val="Normal"/>
    <w:next w:val="Normal"/>
    <w:uiPriority w:val="9"/>
    <w:semiHidden/>
    <w:unhideWhenUsed/>
    <w:qFormat/>
    <w:pPr>
      <w:ind w:firstLine="0"/>
      <w:jc w:val="center"/>
      <w:outlineLvl w:val="2"/>
    </w:pPr>
    <w:rPr>
      <w:b/>
      <w:bCs/>
    </w:rPr>
  </w:style>
  <w:style w:type="paragraph" w:styleId="Heading4">
    <w:name w:val="heading 4"/>
    <w:basedOn w:val="Normal"/>
    <w:next w:val="Normal"/>
    <w:uiPriority w:val="9"/>
    <w:semiHidden/>
    <w:unhideWhenUsed/>
    <w:qFormat/>
    <w:pPr>
      <w:ind w:firstLine="0"/>
      <w:outlineLvl w:val="3"/>
    </w:pPr>
    <w:rPr>
      <w:b/>
      <w:bCs/>
    </w:rPr>
  </w:style>
  <w:style w:type="paragraph" w:styleId="Heading5">
    <w:name w:val="heading 5"/>
    <w:basedOn w:val="Normal"/>
    <w:next w:val="Normal"/>
    <w:uiPriority w:val="9"/>
    <w:semiHidden/>
    <w:unhideWhenUsed/>
    <w:qFormat/>
    <w:pPr>
      <w:ind w:left="720" w:firstLine="0"/>
      <w:outlineLvl w:val="4"/>
    </w:pPr>
    <w:rPr>
      <w:i/>
      <w:iCs/>
    </w:rPr>
  </w:style>
  <w:style w:type="paragraph" w:styleId="Heading6">
    <w:name w:val="heading 6"/>
    <w:basedOn w:val="Normal"/>
    <w:next w:val="Normal"/>
    <w:uiPriority w:val="9"/>
    <w:semiHidden/>
    <w:unhideWhenUsed/>
    <w:qFormat/>
    <w:pPr>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480" w:after="120"/>
    </w:pPr>
    <w:rPr>
      <w:b/>
      <w:bCs/>
      <w:sz w:val="72"/>
      <w:szCs w:val="72"/>
    </w:rPr>
  </w:style>
  <w:style w:type="paragraph" w:styleId="Subtitle">
    <w:name w:val="Subtitle"/>
    <w:basedOn w:val="Normal"/>
    <w:next w:val="Normal"/>
    <w:uiPriority w:val="11"/>
    <w:qFormat/>
    <w:pPr>
      <w:ind w:firstLine="0"/>
      <w:jc w:val="center"/>
    </w:pPr>
  </w:style>
  <w:style w:type="character" w:styleId="CommentReference">
    <w:name w:val="annotation reference"/>
    <w:basedOn w:val="DefaultParagraphFont"/>
    <w:uiPriority w:val="99"/>
    <w:semiHidden/>
    <w:unhideWhenUsed/>
    <w:rsid w:val="00C41BA2"/>
    <w:rPr>
      <w:sz w:val="16"/>
      <w:szCs w:val="16"/>
    </w:rPr>
  </w:style>
  <w:style w:type="paragraph" w:styleId="CommentText">
    <w:name w:val="annotation text"/>
    <w:basedOn w:val="Normal"/>
    <w:link w:val="CommentTextChar"/>
    <w:uiPriority w:val="99"/>
    <w:semiHidden/>
    <w:unhideWhenUsed/>
    <w:rsid w:val="00C41BA2"/>
    <w:pPr>
      <w:spacing w:line="240" w:lineRule="auto"/>
    </w:pPr>
    <w:rPr>
      <w:sz w:val="20"/>
      <w:szCs w:val="20"/>
    </w:rPr>
  </w:style>
  <w:style w:type="character" w:customStyle="1" w:styleId="CommentTextChar">
    <w:name w:val="Comment Text Char"/>
    <w:basedOn w:val="DefaultParagraphFont"/>
    <w:link w:val="CommentText"/>
    <w:uiPriority w:val="99"/>
    <w:semiHidden/>
    <w:rsid w:val="00C41BA2"/>
    <w:rPr>
      <w:sz w:val="20"/>
      <w:szCs w:val="20"/>
    </w:rPr>
  </w:style>
  <w:style w:type="paragraph" w:styleId="CommentSubject">
    <w:name w:val="annotation subject"/>
    <w:basedOn w:val="CommentText"/>
    <w:next w:val="CommentText"/>
    <w:link w:val="CommentSubjectChar"/>
    <w:uiPriority w:val="99"/>
    <w:semiHidden/>
    <w:unhideWhenUsed/>
    <w:rsid w:val="00C41BA2"/>
    <w:rPr>
      <w:b/>
      <w:bCs/>
    </w:rPr>
  </w:style>
  <w:style w:type="character" w:customStyle="1" w:styleId="CommentSubjectChar">
    <w:name w:val="Comment Subject Char"/>
    <w:basedOn w:val="CommentTextChar"/>
    <w:link w:val="CommentSubject"/>
    <w:uiPriority w:val="99"/>
    <w:semiHidden/>
    <w:rsid w:val="00C41BA2"/>
    <w:rPr>
      <w:b/>
      <w:bCs/>
      <w:sz w:val="20"/>
      <w:szCs w:val="20"/>
    </w:rPr>
  </w:style>
  <w:style w:type="paragraph" w:styleId="NormalWeb">
    <w:name w:val="Normal (Web)"/>
    <w:basedOn w:val="Normal"/>
    <w:uiPriority w:val="99"/>
    <w:unhideWhenUsed/>
    <w:rsid w:val="00C41BA2"/>
    <w:pPr>
      <w:widowControl/>
      <w:spacing w:before="100" w:beforeAutospacing="1" w:after="100" w:afterAutospacing="1" w:line="240" w:lineRule="auto"/>
      <w:ind w:firstLine="0"/>
    </w:pPr>
    <w:rPr>
      <w:lang w:val="en-IN"/>
    </w:rPr>
  </w:style>
  <w:style w:type="character" w:styleId="HTMLCode">
    <w:name w:val="HTML Code"/>
    <w:basedOn w:val="DefaultParagraphFont"/>
    <w:uiPriority w:val="99"/>
    <w:semiHidden/>
    <w:unhideWhenUsed/>
    <w:rsid w:val="00805A56"/>
    <w:rPr>
      <w:rFonts w:ascii="Courier New" w:eastAsia="Times New Roman" w:hAnsi="Courier New" w:cs="Courier New"/>
      <w:sz w:val="20"/>
      <w:szCs w:val="20"/>
    </w:rPr>
  </w:style>
  <w:style w:type="character" w:styleId="Strong">
    <w:name w:val="Strong"/>
    <w:basedOn w:val="DefaultParagraphFont"/>
    <w:uiPriority w:val="22"/>
    <w:qFormat/>
    <w:rsid w:val="00805A56"/>
    <w:rPr>
      <w:b/>
      <w:bCs/>
    </w:rPr>
  </w:style>
  <w:style w:type="paragraph" w:styleId="EndnoteText">
    <w:name w:val="endnote text"/>
    <w:basedOn w:val="Normal"/>
    <w:link w:val="EndnoteTextChar"/>
    <w:uiPriority w:val="99"/>
    <w:semiHidden/>
    <w:unhideWhenUsed/>
    <w:rsid w:val="00693A75"/>
    <w:pPr>
      <w:spacing w:line="240" w:lineRule="auto"/>
    </w:pPr>
    <w:rPr>
      <w:sz w:val="20"/>
      <w:szCs w:val="20"/>
    </w:rPr>
  </w:style>
  <w:style w:type="character" w:customStyle="1" w:styleId="EndnoteTextChar">
    <w:name w:val="Endnote Text Char"/>
    <w:basedOn w:val="DefaultParagraphFont"/>
    <w:link w:val="EndnoteText"/>
    <w:uiPriority w:val="99"/>
    <w:semiHidden/>
    <w:rsid w:val="00693A75"/>
    <w:rPr>
      <w:sz w:val="20"/>
      <w:szCs w:val="20"/>
    </w:rPr>
  </w:style>
  <w:style w:type="character" w:styleId="EndnoteReference">
    <w:name w:val="endnote reference"/>
    <w:basedOn w:val="DefaultParagraphFont"/>
    <w:uiPriority w:val="99"/>
    <w:semiHidden/>
    <w:unhideWhenUsed/>
    <w:rsid w:val="00693A75"/>
    <w:rPr>
      <w:vertAlign w:val="superscript"/>
    </w:rPr>
  </w:style>
  <w:style w:type="character" w:styleId="Hyperlink">
    <w:name w:val="Hyperlink"/>
    <w:basedOn w:val="DefaultParagraphFont"/>
    <w:uiPriority w:val="99"/>
    <w:unhideWhenUsed/>
    <w:rsid w:val="006873B2"/>
    <w:rPr>
      <w:color w:val="0000FF" w:themeColor="hyperlink"/>
      <w:u w:val="single"/>
    </w:rPr>
  </w:style>
  <w:style w:type="character" w:styleId="UnresolvedMention">
    <w:name w:val="Unresolved Mention"/>
    <w:basedOn w:val="DefaultParagraphFont"/>
    <w:uiPriority w:val="99"/>
    <w:semiHidden/>
    <w:unhideWhenUsed/>
    <w:rsid w:val="006873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2.xml"/><Relationship Id="rId19" Type="http://schemas.microsoft.com/office/2011/relationships/people" Target="people.xml"/><Relationship Id="rId4" Type="http://schemas.openxmlformats.org/officeDocument/2006/relationships/settings" Target="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28D61-E719-A74E-8324-48FA04A2B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1423</Words>
  <Characters>8116</Characters>
  <Application>Microsoft Office Word</Application>
  <DocSecurity>0</DocSecurity>
  <Lines>67</Lines>
  <Paragraphs>19</Paragraphs>
  <ScaleCrop>false</ScaleCrop>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Raunak Banga</cp:lastModifiedBy>
  <cp:revision>21</cp:revision>
  <dcterms:created xsi:type="dcterms:W3CDTF">2026-09-30T14:49:00Z</dcterms:created>
  <dcterms:modified xsi:type="dcterms:W3CDTF">2026-09-30T15:33:00Z</dcterms:modified>
</cp:coreProperties>
</file>