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Tekgen AI Workforce OS - Deep Module Architecture</w:t>
      </w:r>
    </w:p>
    <w:p>
      <w:pPr>
        <w:jc w:val="center"/>
      </w:pPr>
      <w:r>
        <w:rPr>
          <w:color w:val="475569"/>
          <w:sz w:val="20"/>
        </w:rPr>
        <w:t>Sales CRM, Recruitment ATS, HR Operations, Payroll, Finance, Invoices, Documents, AI and ID-first database structure</w:t>
      </w:r>
    </w:p>
    <w:tbl>
      <w:tblPr>
        <w:tblW w:type="auto" w:w="0"/>
        <w:jc w:val="center"/>
        <w:tblLook w:firstColumn="1" w:firstRow="1" w:lastColumn="0" w:lastRow="0" w:noHBand="0" w:noVBand="1" w:val="04A0"/>
      </w:tblPr>
      <w:tblGrid>
        <w:gridCol w:w="10656"/>
      </w:tblGrid>
      <w:tr>
        <w:tc>
          <w:tcPr>
            <w:tcW w:type="dxa" w:w="10656"/>
            <w:shd w:fill="E0F2FE"/>
          </w:tcPr>
          <w:p>
            <w:r>
              <w:rPr>
                <w:sz w:val="19"/>
              </w:rPr>
              <w:t>Purpose: Build Tekgen as a single-login internal staffing platform where Sales owns clients/JDs, Recruitment works on assigned requirements, HR manages internal employees, Payroll handles salary, Finance handles invoices/collections, and Documents/AI connect everything using secure IDs. No wipe coding. Preserve existing recruitment module.</w:t>
            </w:r>
          </w:p>
        </w:tc>
      </w:tr>
    </w:tbl>
    <w:p>
      <w:pPr>
        <w:pStyle w:val="Heading1"/>
      </w:pPr>
      <w:r>
        <w:t>1. Clear Business Architecture</w:t>
      </w:r>
    </w:p>
    <w:p>
      <w:r>
        <w:t>Tekgen should not behave like a simple HRMS. It should work as a staffing business operating system with separate ownership, but connected data.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E3A8A"/>
          </w:tcPr>
          <w:p>
            <w:r/>
            <w:r>
              <w:rPr>
                <w:b/>
                <w:color w:val="FFFFFF"/>
                <w:sz w:val="18"/>
              </w:rPr>
              <w:t>Module</w:t>
            </w:r>
          </w:p>
        </w:tc>
        <w:tc>
          <w:tcPr>
            <w:tcW w:type="dxa" w:w="2664"/>
            <w:vAlign w:val="center"/>
            <w:shd w:fill="1E3A8A"/>
          </w:tcPr>
          <w:p>
            <w:r/>
            <w:r>
              <w:rPr>
                <w:b/>
                <w:color w:val="FFFFFF"/>
                <w:sz w:val="18"/>
              </w:rPr>
              <w:t>Owner</w:t>
            </w:r>
          </w:p>
        </w:tc>
        <w:tc>
          <w:tcPr>
            <w:tcW w:type="dxa" w:w="2664"/>
            <w:vAlign w:val="center"/>
            <w:shd w:fill="1E3A8A"/>
          </w:tcPr>
          <w:p>
            <w:r/>
            <w:r>
              <w:rPr>
                <w:b/>
                <w:color w:val="FFFFFF"/>
                <w:sz w:val="18"/>
              </w:rPr>
              <w:t>Main Purpose</w:t>
            </w:r>
          </w:p>
        </w:tc>
        <w:tc>
          <w:tcPr>
            <w:tcW w:type="dxa" w:w="2664"/>
            <w:vAlign w:val="center"/>
            <w:shd w:fill="1E3A8A"/>
          </w:tcPr>
          <w:p>
            <w:r/>
            <w:r>
              <w:rPr>
                <w:b/>
                <w:color w:val="FFFFFF"/>
                <w:sz w:val="18"/>
              </w:rPr>
              <w:t>Sensitive Data Rule</w:t>
            </w:r>
          </w:p>
        </w:tc>
      </w:tr>
      <w:tr>
        <w:tc>
          <w:tcPr>
            <w:tcW w:type="dxa" w:w="2664"/>
            <w:vAlign w:val="center"/>
          </w:tcPr>
          <w:p>
            <w:r/>
            <w:r>
              <w:rPr>
                <w:b w:val="0"/>
                <w:sz w:val="18"/>
              </w:rPr>
              <w:t>Sales CRM</w:t>
            </w:r>
          </w:p>
        </w:tc>
        <w:tc>
          <w:tcPr>
            <w:tcW w:type="dxa" w:w="2664"/>
            <w:vAlign w:val="center"/>
          </w:tcPr>
          <w:p>
            <w:r/>
            <w:r>
              <w:rPr>
                <w:b w:val="0"/>
                <w:sz w:val="18"/>
              </w:rPr>
              <w:t>Sales Team</w:t>
            </w:r>
          </w:p>
        </w:tc>
        <w:tc>
          <w:tcPr>
            <w:tcW w:type="dxa" w:w="2664"/>
            <w:vAlign w:val="center"/>
          </w:tcPr>
          <w:p>
            <w:r/>
            <w:r>
              <w:rPr>
                <w:b w:val="0"/>
                <w:sz w:val="18"/>
              </w:rPr>
              <w:t>Clients, contacts, JDs, agreements, commercials, follow-ups</w:t>
            </w:r>
          </w:p>
        </w:tc>
        <w:tc>
          <w:tcPr>
            <w:tcW w:type="dxa" w:w="2664"/>
            <w:vAlign w:val="center"/>
          </w:tcPr>
          <w:p>
            <w:r/>
            <w:r>
              <w:rPr>
                <w:b w:val="0"/>
                <w:sz w:val="18"/>
              </w:rPr>
              <w:t>Recruiters cannot see commercial/payment terms</w:t>
            </w:r>
          </w:p>
        </w:tc>
      </w:tr>
      <w:tr>
        <w:tc>
          <w:tcPr>
            <w:tcW w:type="dxa" w:w="2664"/>
            <w:vAlign w:val="center"/>
          </w:tcPr>
          <w:p>
            <w:r/>
            <w:r>
              <w:rPr>
                <w:b w:val="0"/>
                <w:sz w:val="18"/>
              </w:rPr>
              <w:t>Recruitment ATS</w:t>
            </w:r>
          </w:p>
        </w:tc>
        <w:tc>
          <w:tcPr>
            <w:tcW w:type="dxa" w:w="2664"/>
            <w:vAlign w:val="center"/>
          </w:tcPr>
          <w:p>
            <w:r/>
            <w:r>
              <w:rPr>
                <w:b w:val="0"/>
                <w:sz w:val="18"/>
              </w:rPr>
              <w:t>Recruitment Team</w:t>
            </w:r>
          </w:p>
        </w:tc>
        <w:tc>
          <w:tcPr>
            <w:tcW w:type="dxa" w:w="2664"/>
            <w:vAlign w:val="center"/>
          </w:tcPr>
          <w:p>
            <w:r/>
            <w:r>
              <w:rPr>
                <w:b w:val="0"/>
                <w:sz w:val="18"/>
              </w:rPr>
              <w:t>Candidates, sourcing, AI screening, submissions, interviews, joining</w:t>
            </w:r>
          </w:p>
        </w:tc>
        <w:tc>
          <w:tcPr>
            <w:tcW w:type="dxa" w:w="2664"/>
            <w:vAlign w:val="center"/>
          </w:tcPr>
          <w:p>
            <w:r/>
            <w:r>
              <w:rPr>
                <w:b w:val="0"/>
                <w:sz w:val="18"/>
              </w:rPr>
              <w:t>Only assigned JDs and candidate work access</w:t>
            </w:r>
          </w:p>
        </w:tc>
      </w:tr>
      <w:tr>
        <w:tc>
          <w:tcPr>
            <w:tcW w:type="dxa" w:w="2664"/>
            <w:vAlign w:val="center"/>
          </w:tcPr>
          <w:p>
            <w:r/>
            <w:r>
              <w:rPr>
                <w:b w:val="0"/>
                <w:sz w:val="18"/>
              </w:rPr>
              <w:t>Workforce Delivery</w:t>
            </w:r>
          </w:p>
        </w:tc>
        <w:tc>
          <w:tcPr>
            <w:tcW w:type="dxa" w:w="2664"/>
            <w:vAlign w:val="center"/>
          </w:tcPr>
          <w:p>
            <w:r/>
            <w:r>
              <w:rPr>
                <w:b w:val="0"/>
                <w:sz w:val="18"/>
              </w:rPr>
              <w:t>Operations / Delivery</w:t>
            </w:r>
          </w:p>
        </w:tc>
        <w:tc>
          <w:tcPr>
            <w:tcW w:type="dxa" w:w="2664"/>
            <w:vAlign w:val="center"/>
          </w:tcPr>
          <w:p>
            <w:r/>
            <w:r>
              <w:rPr>
                <w:b w:val="0"/>
                <w:sz w:val="18"/>
              </w:rPr>
              <w:t>Joined candidates deployed to clients, timesheets, client attendance</w:t>
            </w:r>
          </w:p>
        </w:tc>
        <w:tc>
          <w:tcPr>
            <w:tcW w:type="dxa" w:w="2664"/>
            <w:vAlign w:val="center"/>
          </w:tcPr>
          <w:p>
            <w:r/>
            <w:r>
              <w:rPr>
                <w:b w:val="0"/>
                <w:sz w:val="18"/>
              </w:rPr>
              <w:t>Billing/pay rate protected by permission</w:t>
            </w:r>
          </w:p>
        </w:tc>
      </w:tr>
      <w:tr>
        <w:tc>
          <w:tcPr>
            <w:tcW w:type="dxa" w:w="2664"/>
            <w:vAlign w:val="center"/>
          </w:tcPr>
          <w:p>
            <w:r/>
            <w:r>
              <w:rPr>
                <w:b w:val="0"/>
                <w:sz w:val="18"/>
              </w:rPr>
              <w:t>HR Operations</w:t>
            </w:r>
          </w:p>
        </w:tc>
        <w:tc>
          <w:tcPr>
            <w:tcW w:type="dxa" w:w="2664"/>
            <w:vAlign w:val="center"/>
          </w:tcPr>
          <w:p>
            <w:r/>
            <w:r>
              <w:rPr>
                <w:b w:val="0"/>
                <w:sz w:val="18"/>
              </w:rPr>
              <w:t>HR Team</w:t>
            </w:r>
          </w:p>
        </w:tc>
        <w:tc>
          <w:tcPr>
            <w:tcW w:type="dxa" w:w="2664"/>
            <w:vAlign w:val="center"/>
          </w:tcPr>
          <w:p>
            <w:r/>
            <w:r>
              <w:rPr>
                <w:b w:val="0"/>
                <w:sz w:val="18"/>
              </w:rPr>
              <w:t>Internal employees, leave, attendance, profile, ESS, policies</w:t>
            </w:r>
          </w:p>
        </w:tc>
        <w:tc>
          <w:tcPr>
            <w:tcW w:type="dxa" w:w="2664"/>
            <w:vAlign w:val="center"/>
          </w:tcPr>
          <w:p>
            <w:r/>
            <w:r>
              <w:rPr>
                <w:b w:val="0"/>
                <w:sz w:val="18"/>
              </w:rPr>
              <w:t>No access to client commercials unless permitted</w:t>
            </w:r>
          </w:p>
        </w:tc>
      </w:tr>
      <w:tr>
        <w:tc>
          <w:tcPr>
            <w:tcW w:type="dxa" w:w="2664"/>
            <w:vAlign w:val="center"/>
          </w:tcPr>
          <w:p>
            <w:r/>
            <w:r>
              <w:rPr>
                <w:b w:val="0"/>
                <w:sz w:val="18"/>
              </w:rPr>
              <w:t>Payroll</w:t>
            </w:r>
          </w:p>
        </w:tc>
        <w:tc>
          <w:tcPr>
            <w:tcW w:type="dxa" w:w="2664"/>
            <w:vAlign w:val="center"/>
          </w:tcPr>
          <w:p>
            <w:r/>
            <w:r>
              <w:rPr>
                <w:b w:val="0"/>
                <w:sz w:val="18"/>
              </w:rPr>
              <w:t>Payroll Team</w:t>
            </w:r>
          </w:p>
        </w:tc>
        <w:tc>
          <w:tcPr>
            <w:tcW w:type="dxa" w:w="2664"/>
            <w:vAlign w:val="center"/>
          </w:tcPr>
          <w:p>
            <w:r/>
            <w:r>
              <w:rPr>
                <w:b w:val="0"/>
                <w:sz w:val="18"/>
              </w:rPr>
              <w:t>Salary, payslips, deductions, statutory payroll, claims payout</w:t>
            </w:r>
          </w:p>
        </w:tc>
        <w:tc>
          <w:tcPr>
            <w:tcW w:type="dxa" w:w="2664"/>
            <w:vAlign w:val="center"/>
          </w:tcPr>
          <w:p>
            <w:r/>
            <w:r>
              <w:rPr>
                <w:b w:val="0"/>
                <w:sz w:val="18"/>
              </w:rPr>
              <w:t>Only payroll/admin; no recruiter payroll access</w:t>
            </w:r>
          </w:p>
        </w:tc>
      </w:tr>
      <w:tr>
        <w:tc>
          <w:tcPr>
            <w:tcW w:type="dxa" w:w="2664"/>
            <w:vAlign w:val="center"/>
          </w:tcPr>
          <w:p>
            <w:r/>
            <w:r>
              <w:rPr>
                <w:b w:val="0"/>
                <w:sz w:val="18"/>
              </w:rPr>
              <w:t>Finance &amp; Invoices</w:t>
            </w:r>
          </w:p>
        </w:tc>
        <w:tc>
          <w:tcPr>
            <w:tcW w:type="dxa" w:w="2664"/>
            <w:vAlign w:val="center"/>
          </w:tcPr>
          <w:p>
            <w:r/>
            <w:r>
              <w:rPr>
                <w:b w:val="0"/>
                <w:sz w:val="18"/>
              </w:rPr>
              <w:t>Finance Team</w:t>
            </w:r>
          </w:p>
        </w:tc>
        <w:tc>
          <w:tcPr>
            <w:tcW w:type="dxa" w:w="2664"/>
            <w:vAlign w:val="center"/>
          </w:tcPr>
          <w:p>
            <w:r/>
            <w:r>
              <w:rPr>
                <w:b w:val="0"/>
                <w:sz w:val="18"/>
              </w:rPr>
              <w:t>Client invoices, collections, payment follow-up, revenue reports</w:t>
            </w:r>
          </w:p>
        </w:tc>
        <w:tc>
          <w:tcPr>
            <w:tcW w:type="dxa" w:w="2664"/>
            <w:vAlign w:val="center"/>
          </w:tcPr>
          <w:p>
            <w:r/>
            <w:r>
              <w:rPr>
                <w:b w:val="0"/>
                <w:sz w:val="18"/>
              </w:rPr>
              <w:t>Only finance/admin/sales owner limited view</w:t>
            </w:r>
          </w:p>
        </w:tc>
      </w:tr>
      <w:tr>
        <w:tc>
          <w:tcPr>
            <w:tcW w:type="dxa" w:w="2664"/>
            <w:vAlign w:val="center"/>
          </w:tcPr>
          <w:p>
            <w:r/>
            <w:r>
              <w:rPr>
                <w:b w:val="0"/>
                <w:sz w:val="18"/>
              </w:rPr>
              <w:t>Visa &amp; Compliance</w:t>
            </w:r>
          </w:p>
        </w:tc>
        <w:tc>
          <w:tcPr>
            <w:tcW w:type="dxa" w:w="2664"/>
            <w:vAlign w:val="center"/>
          </w:tcPr>
          <w:p>
            <w:r/>
            <w:r>
              <w:rPr>
                <w:b w:val="0"/>
                <w:sz w:val="18"/>
              </w:rPr>
              <w:t>HR/Compliance</w:t>
            </w:r>
          </w:p>
        </w:tc>
        <w:tc>
          <w:tcPr>
            <w:tcW w:type="dxa" w:w="2664"/>
            <w:vAlign w:val="center"/>
          </w:tcPr>
          <w:p>
            <w:r/>
            <w:r>
              <w:rPr>
                <w:b w:val="0"/>
                <w:sz w:val="18"/>
              </w:rPr>
              <w:t>Malaysia local/expat records, permit expiry, document checklists</w:t>
            </w:r>
          </w:p>
        </w:tc>
        <w:tc>
          <w:tcPr>
            <w:tcW w:type="dxa" w:w="2664"/>
            <w:vAlign w:val="center"/>
          </w:tcPr>
          <w:p>
            <w:r/>
            <w:r>
              <w:rPr>
                <w:b w:val="0"/>
                <w:sz w:val="18"/>
              </w:rPr>
              <w:t>Sensitive passport/visa access restricted</w:t>
            </w:r>
          </w:p>
        </w:tc>
      </w:tr>
      <w:tr>
        <w:tc>
          <w:tcPr>
            <w:tcW w:type="dxa" w:w="2664"/>
            <w:vAlign w:val="center"/>
          </w:tcPr>
          <w:p>
            <w:r/>
            <w:r>
              <w:rPr>
                <w:b w:val="0"/>
                <w:sz w:val="18"/>
              </w:rPr>
              <w:t>Documents Vault</w:t>
            </w:r>
          </w:p>
        </w:tc>
        <w:tc>
          <w:tcPr>
            <w:tcW w:type="dxa" w:w="2664"/>
            <w:vAlign w:val="center"/>
          </w:tcPr>
          <w:p>
            <w:r/>
            <w:r>
              <w:rPr>
                <w:b w:val="0"/>
                <w:sz w:val="18"/>
              </w:rPr>
              <w:t>All modules with permission</w:t>
            </w:r>
          </w:p>
        </w:tc>
        <w:tc>
          <w:tcPr>
            <w:tcW w:type="dxa" w:w="2664"/>
            <w:vAlign w:val="center"/>
          </w:tcPr>
          <w:p>
            <w:r/>
            <w:r>
              <w:rPr>
                <w:b w:val="0"/>
                <w:sz w:val="18"/>
              </w:rPr>
              <w:t>Employee, client, agreement, invoice, visa documents</w:t>
            </w:r>
          </w:p>
        </w:tc>
        <w:tc>
          <w:tcPr>
            <w:tcW w:type="dxa" w:w="2664"/>
            <w:vAlign w:val="center"/>
          </w:tcPr>
          <w:p>
            <w:r/>
            <w:r>
              <w:rPr>
                <w:b w:val="0"/>
                <w:sz w:val="18"/>
              </w:rPr>
              <w:t>Private storage, signed URLs, audit logs</w:t>
            </w:r>
          </w:p>
        </w:tc>
      </w:tr>
      <w:tr>
        <w:tc>
          <w:tcPr>
            <w:tcW w:type="dxa" w:w="2664"/>
            <w:vAlign w:val="center"/>
          </w:tcPr>
          <w:p>
            <w:r/>
            <w:r>
              <w:rPr>
                <w:b w:val="0"/>
                <w:sz w:val="18"/>
              </w:rPr>
              <w:t>Analytics &amp; AI</w:t>
            </w:r>
          </w:p>
        </w:tc>
        <w:tc>
          <w:tcPr>
            <w:tcW w:type="dxa" w:w="2664"/>
            <w:vAlign w:val="center"/>
          </w:tcPr>
          <w:p>
            <w:r/>
            <w:r>
              <w:rPr>
                <w:b w:val="0"/>
                <w:sz w:val="18"/>
              </w:rPr>
              <w:t>Management/Admin</w:t>
            </w:r>
          </w:p>
        </w:tc>
        <w:tc>
          <w:tcPr>
            <w:tcW w:type="dxa" w:w="2664"/>
            <w:vAlign w:val="center"/>
          </w:tcPr>
          <w:p>
            <w:r/>
            <w:r>
              <w:rPr>
                <w:b w:val="0"/>
                <w:sz w:val="18"/>
              </w:rPr>
              <w:t>Cross-module KPIs, alerts, AI suggestions</w:t>
            </w:r>
          </w:p>
        </w:tc>
        <w:tc>
          <w:tcPr>
            <w:tcW w:type="dxa" w:w="2664"/>
            <w:vAlign w:val="center"/>
          </w:tcPr>
          <w:p>
            <w:r/>
            <w:r>
              <w:rPr>
                <w:b w:val="0"/>
                <w:sz w:val="18"/>
              </w:rPr>
              <w:t>AI suggests only; no auto-approval</w:t>
            </w:r>
          </w:p>
        </w:tc>
      </w:tr>
    </w:tbl>
    <w:p>
      <w:pPr>
        <w:pStyle w:val="Heading1"/>
      </w:pPr>
      <w:r>
        <w:t>2. ID-first Master Data Structure</w:t>
      </w:r>
    </w:p>
    <w:p>
      <w:r>
        <w:t>Every workflow must run by ID. Names, phone numbers and emails are not reliable keys. IDs connect Sales, Recruitment, HR, Payroll, Finance and Documents.</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0F766E"/>
          </w:tcPr>
          <w:p>
            <w:r/>
            <w:r>
              <w:rPr>
                <w:b/>
                <w:color w:val="FFFFFF"/>
                <w:sz w:val="18"/>
              </w:rPr>
              <w:t>ID</w:t>
            </w:r>
          </w:p>
        </w:tc>
        <w:tc>
          <w:tcPr>
            <w:tcW w:type="dxa" w:w="3552"/>
            <w:vAlign w:val="center"/>
            <w:shd w:fill="0F766E"/>
          </w:tcPr>
          <w:p>
            <w:r/>
            <w:r>
              <w:rPr>
                <w:b/>
                <w:color w:val="FFFFFF"/>
                <w:sz w:val="18"/>
              </w:rPr>
              <w:t>Format</w:t>
            </w:r>
          </w:p>
        </w:tc>
        <w:tc>
          <w:tcPr>
            <w:tcW w:type="dxa" w:w="3552"/>
            <w:vAlign w:val="center"/>
            <w:shd w:fill="0F766E"/>
          </w:tcPr>
          <w:p>
            <w:r/>
            <w:r>
              <w:rPr>
                <w:b/>
                <w:color w:val="FFFFFF"/>
                <w:sz w:val="18"/>
              </w:rPr>
              <w:t>Connected Modules</w:t>
            </w:r>
          </w:p>
        </w:tc>
      </w:tr>
      <w:tr>
        <w:tc>
          <w:tcPr>
            <w:tcW w:type="dxa" w:w="3552"/>
            <w:vAlign w:val="center"/>
          </w:tcPr>
          <w:p>
            <w:r/>
            <w:r>
              <w:rPr>
                <w:b w:val="0"/>
                <w:sz w:val="18"/>
              </w:rPr>
              <w:t>Client ID</w:t>
            </w:r>
          </w:p>
        </w:tc>
        <w:tc>
          <w:tcPr>
            <w:tcW w:type="dxa" w:w="3552"/>
            <w:vAlign w:val="center"/>
          </w:tcPr>
          <w:p>
            <w:r/>
            <w:r>
              <w:rPr>
                <w:b w:val="0"/>
                <w:sz w:val="18"/>
              </w:rPr>
              <w:t>TKG-CL-0001</w:t>
            </w:r>
          </w:p>
        </w:tc>
        <w:tc>
          <w:tcPr>
            <w:tcW w:type="dxa" w:w="3552"/>
            <w:vAlign w:val="center"/>
          </w:tcPr>
          <w:p>
            <w:r/>
            <w:r>
              <w:rPr>
                <w:b w:val="0"/>
                <w:sz w:val="18"/>
              </w:rPr>
              <w:t>Sales, JDs, agreements, invoices, documents</w:t>
            </w:r>
          </w:p>
        </w:tc>
      </w:tr>
      <w:tr>
        <w:tc>
          <w:tcPr>
            <w:tcW w:type="dxa" w:w="3552"/>
            <w:vAlign w:val="center"/>
          </w:tcPr>
          <w:p>
            <w:r/>
            <w:r>
              <w:rPr>
                <w:b w:val="0"/>
                <w:sz w:val="18"/>
              </w:rPr>
              <w:t>JD ID</w:t>
            </w:r>
          </w:p>
        </w:tc>
        <w:tc>
          <w:tcPr>
            <w:tcW w:type="dxa" w:w="3552"/>
            <w:vAlign w:val="center"/>
          </w:tcPr>
          <w:p>
            <w:r/>
            <w:r>
              <w:rPr>
                <w:b w:val="0"/>
                <w:sz w:val="18"/>
              </w:rPr>
              <w:t>TKG-JD-0001</w:t>
            </w:r>
          </w:p>
        </w:tc>
        <w:tc>
          <w:tcPr>
            <w:tcW w:type="dxa" w:w="3552"/>
            <w:vAlign w:val="center"/>
          </w:tcPr>
          <w:p>
            <w:r/>
            <w:r>
              <w:rPr>
                <w:b w:val="0"/>
                <w:sz w:val="18"/>
              </w:rPr>
              <w:t>Sales, recruitment, submissions, onboarding, billing</w:t>
            </w:r>
          </w:p>
        </w:tc>
      </w:tr>
      <w:tr>
        <w:tc>
          <w:tcPr>
            <w:tcW w:type="dxa" w:w="3552"/>
            <w:vAlign w:val="center"/>
          </w:tcPr>
          <w:p>
            <w:r/>
            <w:r>
              <w:rPr>
                <w:b w:val="0"/>
                <w:sz w:val="18"/>
              </w:rPr>
              <w:t>Candidate ID</w:t>
            </w:r>
          </w:p>
        </w:tc>
        <w:tc>
          <w:tcPr>
            <w:tcW w:type="dxa" w:w="3552"/>
            <w:vAlign w:val="center"/>
          </w:tcPr>
          <w:p>
            <w:r/>
            <w:r>
              <w:rPr>
                <w:b w:val="0"/>
                <w:sz w:val="18"/>
              </w:rPr>
              <w:t>TKG-CAN-0001</w:t>
            </w:r>
          </w:p>
        </w:tc>
        <w:tc>
          <w:tcPr>
            <w:tcW w:type="dxa" w:w="3552"/>
            <w:vAlign w:val="center"/>
          </w:tcPr>
          <w:p>
            <w:r/>
            <w:r>
              <w:rPr>
                <w:b w:val="0"/>
                <w:sz w:val="18"/>
              </w:rPr>
              <w:t>Recruitment, submissions, onboarding, deployment</w:t>
            </w:r>
          </w:p>
        </w:tc>
      </w:tr>
      <w:tr>
        <w:tc>
          <w:tcPr>
            <w:tcW w:type="dxa" w:w="3552"/>
            <w:vAlign w:val="center"/>
          </w:tcPr>
          <w:p>
            <w:r/>
            <w:r>
              <w:rPr>
                <w:b w:val="0"/>
                <w:sz w:val="18"/>
              </w:rPr>
              <w:t>Employee ID</w:t>
            </w:r>
          </w:p>
        </w:tc>
        <w:tc>
          <w:tcPr>
            <w:tcW w:type="dxa" w:w="3552"/>
            <w:vAlign w:val="center"/>
          </w:tcPr>
          <w:p>
            <w:r/>
            <w:r>
              <w:rPr>
                <w:b w:val="0"/>
                <w:sz w:val="18"/>
              </w:rPr>
              <w:t>TKG-EMP-0001</w:t>
            </w:r>
          </w:p>
        </w:tc>
        <w:tc>
          <w:tcPr>
            <w:tcW w:type="dxa" w:w="3552"/>
            <w:vAlign w:val="center"/>
          </w:tcPr>
          <w:p>
            <w:r/>
            <w:r>
              <w:rPr>
                <w:b w:val="0"/>
                <w:sz w:val="18"/>
              </w:rPr>
              <w:t>Internal staff, ESS, attendance, leave, payroll</w:t>
            </w:r>
          </w:p>
        </w:tc>
      </w:tr>
      <w:tr>
        <w:tc>
          <w:tcPr>
            <w:tcW w:type="dxa" w:w="3552"/>
            <w:vAlign w:val="center"/>
          </w:tcPr>
          <w:p>
            <w:r/>
            <w:r>
              <w:rPr>
                <w:b w:val="0"/>
                <w:sz w:val="18"/>
              </w:rPr>
              <w:t>Deployed Staff ID</w:t>
            </w:r>
          </w:p>
        </w:tc>
        <w:tc>
          <w:tcPr>
            <w:tcW w:type="dxa" w:w="3552"/>
            <w:vAlign w:val="center"/>
          </w:tcPr>
          <w:p>
            <w:r/>
            <w:r>
              <w:rPr>
                <w:b w:val="0"/>
                <w:sz w:val="18"/>
              </w:rPr>
              <w:t>TKG-DEP-0001</w:t>
            </w:r>
          </w:p>
        </w:tc>
        <w:tc>
          <w:tcPr>
            <w:tcW w:type="dxa" w:w="3552"/>
            <w:vAlign w:val="center"/>
          </w:tcPr>
          <w:p>
            <w:r/>
            <w:r>
              <w:rPr>
                <w:b w:val="0"/>
                <w:sz w:val="18"/>
              </w:rPr>
              <w:t>Client deployment, timesheets, billing, salary</w:t>
            </w:r>
          </w:p>
        </w:tc>
      </w:tr>
      <w:tr>
        <w:tc>
          <w:tcPr>
            <w:tcW w:type="dxa" w:w="3552"/>
            <w:vAlign w:val="center"/>
          </w:tcPr>
          <w:p>
            <w:r/>
            <w:r>
              <w:rPr>
                <w:b w:val="0"/>
                <w:sz w:val="18"/>
              </w:rPr>
              <w:t>Submission ID</w:t>
            </w:r>
          </w:p>
        </w:tc>
        <w:tc>
          <w:tcPr>
            <w:tcW w:type="dxa" w:w="3552"/>
            <w:vAlign w:val="center"/>
          </w:tcPr>
          <w:p>
            <w:r/>
            <w:r>
              <w:rPr>
                <w:b w:val="0"/>
                <w:sz w:val="18"/>
              </w:rPr>
              <w:t>TKG-SUB-0001</w:t>
            </w:r>
          </w:p>
        </w:tc>
        <w:tc>
          <w:tcPr>
            <w:tcW w:type="dxa" w:w="3552"/>
            <w:vAlign w:val="center"/>
          </w:tcPr>
          <w:p>
            <w:r/>
            <w:r>
              <w:rPr>
                <w:b w:val="0"/>
                <w:sz w:val="18"/>
              </w:rPr>
              <w:t>Candidate, JD, client, recruiter, feedback</w:t>
            </w:r>
          </w:p>
        </w:tc>
      </w:tr>
      <w:tr>
        <w:tc>
          <w:tcPr>
            <w:tcW w:type="dxa" w:w="3552"/>
            <w:vAlign w:val="center"/>
          </w:tcPr>
          <w:p>
            <w:r/>
            <w:r>
              <w:rPr>
                <w:b w:val="0"/>
                <w:sz w:val="18"/>
              </w:rPr>
              <w:t>Payroll Run ID</w:t>
            </w:r>
          </w:p>
        </w:tc>
        <w:tc>
          <w:tcPr>
            <w:tcW w:type="dxa" w:w="3552"/>
            <w:vAlign w:val="center"/>
          </w:tcPr>
          <w:p>
            <w:r/>
            <w:r>
              <w:rPr>
                <w:b w:val="0"/>
                <w:sz w:val="18"/>
              </w:rPr>
              <w:t>TKG-PR-0001</w:t>
            </w:r>
          </w:p>
        </w:tc>
        <w:tc>
          <w:tcPr>
            <w:tcW w:type="dxa" w:w="3552"/>
            <w:vAlign w:val="center"/>
          </w:tcPr>
          <w:p>
            <w:r/>
            <w:r>
              <w:rPr>
                <w:b w:val="0"/>
                <w:sz w:val="18"/>
              </w:rPr>
              <w:t>Payroll month, employees, approvals</w:t>
            </w:r>
          </w:p>
        </w:tc>
      </w:tr>
      <w:tr>
        <w:tc>
          <w:tcPr>
            <w:tcW w:type="dxa" w:w="3552"/>
            <w:vAlign w:val="center"/>
          </w:tcPr>
          <w:p>
            <w:r/>
            <w:r>
              <w:rPr>
                <w:b w:val="0"/>
                <w:sz w:val="18"/>
              </w:rPr>
              <w:t>Payslip ID</w:t>
            </w:r>
          </w:p>
        </w:tc>
        <w:tc>
          <w:tcPr>
            <w:tcW w:type="dxa" w:w="3552"/>
            <w:vAlign w:val="center"/>
          </w:tcPr>
          <w:p>
            <w:r/>
            <w:r>
              <w:rPr>
                <w:b w:val="0"/>
                <w:sz w:val="18"/>
              </w:rPr>
              <w:t>TKG-PS-0001</w:t>
            </w:r>
          </w:p>
        </w:tc>
        <w:tc>
          <w:tcPr>
            <w:tcW w:type="dxa" w:w="3552"/>
            <w:vAlign w:val="center"/>
          </w:tcPr>
          <w:p>
            <w:r/>
            <w:r>
              <w:rPr>
                <w:b w:val="0"/>
                <w:sz w:val="18"/>
              </w:rPr>
              <w:t>Employee/deployed staff payslip PDF</w:t>
            </w:r>
          </w:p>
        </w:tc>
      </w:tr>
      <w:tr>
        <w:tc>
          <w:tcPr>
            <w:tcW w:type="dxa" w:w="3552"/>
            <w:vAlign w:val="center"/>
          </w:tcPr>
          <w:p>
            <w:r/>
            <w:r>
              <w:rPr>
                <w:b w:val="0"/>
                <w:sz w:val="18"/>
              </w:rPr>
              <w:t>Invoice ID</w:t>
            </w:r>
          </w:p>
        </w:tc>
        <w:tc>
          <w:tcPr>
            <w:tcW w:type="dxa" w:w="3552"/>
            <w:vAlign w:val="center"/>
          </w:tcPr>
          <w:p>
            <w:r/>
            <w:r>
              <w:rPr>
                <w:b w:val="0"/>
                <w:sz w:val="18"/>
              </w:rPr>
              <w:t>TKG-INV-0001</w:t>
            </w:r>
          </w:p>
        </w:tc>
        <w:tc>
          <w:tcPr>
            <w:tcW w:type="dxa" w:w="3552"/>
            <w:vAlign w:val="center"/>
          </w:tcPr>
          <w:p>
            <w:r/>
            <w:r>
              <w:rPr>
                <w:b w:val="0"/>
                <w:sz w:val="18"/>
              </w:rPr>
              <w:t>Client billing, collections, receipts</w:t>
            </w:r>
          </w:p>
        </w:tc>
      </w:tr>
      <w:tr>
        <w:tc>
          <w:tcPr>
            <w:tcW w:type="dxa" w:w="3552"/>
            <w:vAlign w:val="center"/>
          </w:tcPr>
          <w:p>
            <w:r/>
            <w:r>
              <w:rPr>
                <w:b w:val="0"/>
                <w:sz w:val="18"/>
              </w:rPr>
              <w:t>Agreement ID</w:t>
            </w:r>
          </w:p>
        </w:tc>
        <w:tc>
          <w:tcPr>
            <w:tcW w:type="dxa" w:w="3552"/>
            <w:vAlign w:val="center"/>
          </w:tcPr>
          <w:p>
            <w:r/>
            <w:r>
              <w:rPr>
                <w:b w:val="0"/>
                <w:sz w:val="18"/>
              </w:rPr>
              <w:t>TKG-AGR-0001</w:t>
            </w:r>
          </w:p>
        </w:tc>
        <w:tc>
          <w:tcPr>
            <w:tcW w:type="dxa" w:w="3552"/>
            <w:vAlign w:val="center"/>
          </w:tcPr>
          <w:p>
            <w:r/>
            <w:r>
              <w:rPr>
                <w:b w:val="0"/>
                <w:sz w:val="18"/>
              </w:rPr>
              <w:t>Client contracts, rate cards, SOW/NDA/MSA</w:t>
            </w:r>
          </w:p>
        </w:tc>
      </w:tr>
      <w:tr>
        <w:tc>
          <w:tcPr>
            <w:tcW w:type="dxa" w:w="3552"/>
            <w:vAlign w:val="center"/>
          </w:tcPr>
          <w:p>
            <w:r/>
            <w:r>
              <w:rPr>
                <w:b w:val="0"/>
                <w:sz w:val="18"/>
              </w:rPr>
              <w:t>Document ID</w:t>
            </w:r>
          </w:p>
        </w:tc>
        <w:tc>
          <w:tcPr>
            <w:tcW w:type="dxa" w:w="3552"/>
            <w:vAlign w:val="center"/>
          </w:tcPr>
          <w:p>
            <w:r/>
            <w:r>
              <w:rPr>
                <w:b w:val="0"/>
                <w:sz w:val="18"/>
              </w:rPr>
              <w:t>TKG-DOC-0001</w:t>
            </w:r>
          </w:p>
        </w:tc>
        <w:tc>
          <w:tcPr>
            <w:tcW w:type="dxa" w:w="3552"/>
            <w:vAlign w:val="center"/>
          </w:tcPr>
          <w:p>
            <w:r/>
            <w:r>
              <w:rPr>
                <w:b w:val="0"/>
                <w:sz w:val="18"/>
              </w:rPr>
              <w:t>Secure file vault linked to any entity</w:t>
            </w:r>
          </w:p>
        </w:tc>
      </w:tr>
      <w:tr>
        <w:tc>
          <w:tcPr>
            <w:tcW w:type="dxa" w:w="3552"/>
            <w:vAlign w:val="center"/>
          </w:tcPr>
          <w:p>
            <w:r/>
            <w:r>
              <w:rPr>
                <w:b w:val="0"/>
                <w:sz w:val="18"/>
              </w:rPr>
              <w:t>Audit Log ID</w:t>
            </w:r>
          </w:p>
        </w:tc>
        <w:tc>
          <w:tcPr>
            <w:tcW w:type="dxa" w:w="3552"/>
            <w:vAlign w:val="center"/>
          </w:tcPr>
          <w:p>
            <w:r/>
            <w:r>
              <w:rPr>
                <w:b w:val="0"/>
                <w:sz w:val="18"/>
              </w:rPr>
              <w:t>TKG-AUD-0001</w:t>
            </w:r>
          </w:p>
        </w:tc>
        <w:tc>
          <w:tcPr>
            <w:tcW w:type="dxa" w:w="3552"/>
            <w:vAlign w:val="center"/>
          </w:tcPr>
          <w:p>
            <w:r/>
            <w:r>
              <w:rPr>
                <w:b w:val="0"/>
                <w:sz w:val="18"/>
              </w:rPr>
              <w:t>Every create/update/view/download action</w:t>
            </w:r>
          </w:p>
        </w:tc>
      </w:tr>
    </w:tbl>
    <w:p>
      <w:pPr>
        <w:pStyle w:val="Heading1"/>
      </w:pPr>
      <w:r>
        <w:t>3. Recommended Sidebar by Role</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1E293B"/>
          </w:tcPr>
          <w:p>
            <w:r/>
            <w:r>
              <w:rPr>
                <w:b/>
                <w:color w:val="FFFFFF"/>
                <w:sz w:val="18"/>
              </w:rPr>
              <w:t>Role</w:t>
            </w:r>
          </w:p>
        </w:tc>
        <w:tc>
          <w:tcPr>
            <w:tcW w:type="dxa" w:w="3552"/>
            <w:vAlign w:val="center"/>
            <w:shd w:fill="1E293B"/>
          </w:tcPr>
          <w:p>
            <w:r/>
            <w:r>
              <w:rPr>
                <w:b/>
                <w:color w:val="FFFFFF"/>
                <w:sz w:val="18"/>
              </w:rPr>
              <w:t>Work Modules</w:t>
            </w:r>
          </w:p>
        </w:tc>
        <w:tc>
          <w:tcPr>
            <w:tcW w:type="dxa" w:w="3552"/>
            <w:vAlign w:val="center"/>
            <w:shd w:fill="1E293B"/>
          </w:tcPr>
          <w:p>
            <w:r/>
            <w:r>
              <w:rPr>
                <w:b/>
                <w:color w:val="FFFFFF"/>
                <w:sz w:val="18"/>
              </w:rPr>
              <w:t>My Workspace / ESS</w:t>
            </w:r>
          </w:p>
        </w:tc>
      </w:tr>
      <w:tr>
        <w:tc>
          <w:tcPr>
            <w:tcW w:type="dxa" w:w="3552"/>
            <w:vAlign w:val="center"/>
          </w:tcPr>
          <w:p>
            <w:r/>
            <w:r>
              <w:rPr>
                <w:b w:val="0"/>
                <w:sz w:val="18"/>
              </w:rPr>
              <w:t>Recruiter</w:t>
            </w:r>
          </w:p>
        </w:tc>
        <w:tc>
          <w:tcPr>
            <w:tcW w:type="dxa" w:w="3552"/>
            <w:vAlign w:val="center"/>
          </w:tcPr>
          <w:p>
            <w:r/>
            <w:r>
              <w:rPr>
                <w:b w:val="0"/>
                <w:sz w:val="18"/>
              </w:rPr>
              <w:t>Recruitment ATS: Job Openings, Candidates, AI Screening, Interviews, Selections, Onboarding, Follow-ups</w:t>
            </w:r>
          </w:p>
        </w:tc>
        <w:tc>
          <w:tcPr>
            <w:tcW w:type="dxa" w:w="3552"/>
            <w:vAlign w:val="center"/>
          </w:tcPr>
          <w:p>
            <w:r/>
            <w:r>
              <w:rPr>
                <w:b w:val="0"/>
                <w:sz w:val="18"/>
              </w:rPr>
              <w:t>My Profile, My Attendance, My Leave, My Payslips view-only, My Claims request, My Tax Forms view-only, My Documents</w:t>
            </w:r>
          </w:p>
        </w:tc>
      </w:tr>
      <w:tr>
        <w:tc>
          <w:tcPr>
            <w:tcW w:type="dxa" w:w="3552"/>
            <w:vAlign w:val="center"/>
          </w:tcPr>
          <w:p>
            <w:r/>
            <w:r>
              <w:rPr>
                <w:b w:val="0"/>
                <w:sz w:val="18"/>
              </w:rPr>
              <w:t>Sales Executive</w:t>
            </w:r>
          </w:p>
        </w:tc>
        <w:tc>
          <w:tcPr>
            <w:tcW w:type="dxa" w:w="3552"/>
            <w:vAlign w:val="center"/>
          </w:tcPr>
          <w:p>
            <w:r/>
            <w:r>
              <w:rPr>
                <w:b w:val="0"/>
                <w:sz w:val="18"/>
              </w:rPr>
              <w:t>Sales CRM: Clients assigned, Contacts, JDs, Follow-ups, Submissions Tracking, limited billing status</w:t>
            </w:r>
          </w:p>
        </w:tc>
        <w:tc>
          <w:tcPr>
            <w:tcW w:type="dxa" w:w="3552"/>
            <w:vAlign w:val="center"/>
          </w:tcPr>
          <w:p>
            <w:r/>
            <w:r>
              <w:rPr>
                <w:b w:val="0"/>
                <w:sz w:val="18"/>
              </w:rPr>
              <w:t>My Profile, Attendance, Leave, Payslips view-only, Claims, Documents</w:t>
            </w:r>
          </w:p>
        </w:tc>
      </w:tr>
      <w:tr>
        <w:tc>
          <w:tcPr>
            <w:tcW w:type="dxa" w:w="3552"/>
            <w:vAlign w:val="center"/>
          </w:tcPr>
          <w:p>
            <w:r/>
            <w:r>
              <w:rPr>
                <w:b w:val="0"/>
                <w:sz w:val="18"/>
              </w:rPr>
              <w:t>HR Admin</w:t>
            </w:r>
          </w:p>
        </w:tc>
        <w:tc>
          <w:tcPr>
            <w:tcW w:type="dxa" w:w="3552"/>
            <w:vAlign w:val="center"/>
          </w:tcPr>
          <w:p>
            <w:r/>
            <w:r>
              <w:rPr>
                <w:b w:val="0"/>
                <w:sz w:val="18"/>
              </w:rPr>
              <w:t>HR Operations, Employee Records, Leave Approval Queue, Attendance, Onboarding, Documents, Compliance</w:t>
            </w:r>
          </w:p>
        </w:tc>
        <w:tc>
          <w:tcPr>
            <w:tcW w:type="dxa" w:w="3552"/>
            <w:vAlign w:val="center"/>
          </w:tcPr>
          <w:p>
            <w:r/>
            <w:r>
              <w:rPr>
                <w:b w:val="0"/>
                <w:sz w:val="18"/>
              </w:rPr>
              <w:t>Own ESS plus HR admin workflows</w:t>
            </w:r>
          </w:p>
        </w:tc>
      </w:tr>
      <w:tr>
        <w:tc>
          <w:tcPr>
            <w:tcW w:type="dxa" w:w="3552"/>
            <w:vAlign w:val="center"/>
          </w:tcPr>
          <w:p>
            <w:r/>
            <w:r>
              <w:rPr>
                <w:b w:val="0"/>
                <w:sz w:val="18"/>
              </w:rPr>
              <w:t>Payroll User</w:t>
            </w:r>
          </w:p>
        </w:tc>
        <w:tc>
          <w:tcPr>
            <w:tcW w:type="dxa" w:w="3552"/>
            <w:vAlign w:val="center"/>
          </w:tcPr>
          <w:p>
            <w:r/>
            <w:r>
              <w:rPr>
                <w:b w:val="0"/>
                <w:sz w:val="18"/>
              </w:rPr>
              <w:t>Payroll Runs, Salary Components, Claims Payout, Payslips, Statutory Forms</w:t>
            </w:r>
          </w:p>
        </w:tc>
        <w:tc>
          <w:tcPr>
            <w:tcW w:type="dxa" w:w="3552"/>
            <w:vAlign w:val="center"/>
          </w:tcPr>
          <w:p>
            <w:r/>
            <w:r>
              <w:rPr>
                <w:b w:val="0"/>
                <w:sz w:val="18"/>
              </w:rPr>
              <w:t>Own ESS plus payroll work queue</w:t>
            </w:r>
          </w:p>
        </w:tc>
      </w:tr>
      <w:tr>
        <w:tc>
          <w:tcPr>
            <w:tcW w:type="dxa" w:w="3552"/>
            <w:vAlign w:val="center"/>
          </w:tcPr>
          <w:p>
            <w:r/>
            <w:r>
              <w:rPr>
                <w:b w:val="0"/>
                <w:sz w:val="18"/>
              </w:rPr>
              <w:t>Finance User</w:t>
            </w:r>
          </w:p>
        </w:tc>
        <w:tc>
          <w:tcPr>
            <w:tcW w:type="dxa" w:w="3552"/>
            <w:vAlign w:val="center"/>
          </w:tcPr>
          <w:p>
            <w:r/>
            <w:r>
              <w:rPr>
                <w:b w:val="0"/>
                <w:sz w:val="18"/>
              </w:rPr>
              <w:t>Invoices, Collections, Client Billing, Payment Follow-ups, Reports</w:t>
            </w:r>
          </w:p>
        </w:tc>
        <w:tc>
          <w:tcPr>
            <w:tcW w:type="dxa" w:w="3552"/>
            <w:vAlign w:val="center"/>
          </w:tcPr>
          <w:p>
            <w:r/>
            <w:r>
              <w:rPr>
                <w:b w:val="0"/>
                <w:sz w:val="18"/>
              </w:rPr>
              <w:t>Own ESS plus finance work queue</w:t>
            </w:r>
          </w:p>
        </w:tc>
      </w:tr>
      <w:tr>
        <w:tc>
          <w:tcPr>
            <w:tcW w:type="dxa" w:w="3552"/>
            <w:vAlign w:val="center"/>
          </w:tcPr>
          <w:p>
            <w:r/>
            <w:r>
              <w:rPr>
                <w:b w:val="0"/>
                <w:sz w:val="18"/>
              </w:rPr>
              <w:t>Main Admin</w:t>
            </w:r>
          </w:p>
        </w:tc>
        <w:tc>
          <w:tcPr>
            <w:tcW w:type="dxa" w:w="3552"/>
            <w:vAlign w:val="center"/>
          </w:tcPr>
          <w:p>
            <w:r/>
            <w:r>
              <w:rPr>
                <w:b w:val="0"/>
                <w:sz w:val="18"/>
              </w:rPr>
              <w:t>All modules, user management, permissions, audit logs, configuration</w:t>
            </w:r>
          </w:p>
        </w:tc>
        <w:tc>
          <w:tcPr>
            <w:tcW w:type="dxa" w:w="3552"/>
            <w:vAlign w:val="center"/>
          </w:tcPr>
          <w:p>
            <w:r/>
            <w:r>
              <w:rPr>
                <w:b w:val="0"/>
                <w:sz w:val="18"/>
              </w:rPr>
              <w:t>Own ESS plus full platform control</w:t>
            </w:r>
          </w:p>
        </w:tc>
      </w:tr>
    </w:tbl>
    <w:p>
      <w:pPr>
        <w:pStyle w:val="Heading1"/>
      </w:pPr>
      <w:r>
        <w:t>4. Sales CRM - Full Dashboard and Client Control</w:t>
      </w:r>
    </w:p>
    <w:p>
      <w:r>
        <w:t>Sales is the revenue engine. Sales owns clients, commercials and JDs. Recruitment should receive only approved/assigned JD information.</w:t>
      </w:r>
    </w:p>
    <w:p>
      <w:pPr>
        <w:pStyle w:val="Heading2"/>
      </w:pPr>
      <w:r>
        <w:t>Sales Dashboard KPIs</w:t>
      </w:r>
    </w:p>
    <w:p>
      <w:pPr>
        <w:pStyle w:val="ListBullet"/>
      </w:pPr>
      <w:r>
        <w:t>Total Clients</w:t>
      </w:r>
    </w:p>
    <w:p>
      <w:pPr>
        <w:pStyle w:val="ListBullet"/>
      </w:pPr>
      <w:r>
        <w:t>Active Clients</w:t>
      </w:r>
    </w:p>
    <w:p>
      <w:pPr>
        <w:pStyle w:val="ListBullet"/>
      </w:pPr>
      <w:r>
        <w:t>New Clients This Month</w:t>
      </w:r>
    </w:p>
    <w:p>
      <w:pPr>
        <w:pStyle w:val="ListBullet"/>
      </w:pPr>
      <w:r>
        <w:t>Open JDs</w:t>
      </w:r>
    </w:p>
    <w:p>
      <w:pPr>
        <w:pStyle w:val="ListBullet"/>
      </w:pPr>
      <w:r>
        <w:t>JDs Assigned to Recruitment</w:t>
      </w:r>
    </w:p>
    <w:p>
      <w:pPr>
        <w:pStyle w:val="ListBullet"/>
      </w:pPr>
      <w:r>
        <w:t>CVs Submitted</w:t>
      </w:r>
    </w:p>
    <w:p>
      <w:pPr>
        <w:pStyle w:val="ListBullet"/>
      </w:pPr>
      <w:r>
        <w:t>Interviews Scheduled</w:t>
      </w:r>
    </w:p>
    <w:p>
      <w:pPr>
        <w:pStyle w:val="ListBullet"/>
      </w:pPr>
      <w:r>
        <w:t>Offers/Closures</w:t>
      </w:r>
    </w:p>
    <w:p>
      <w:pPr>
        <w:pStyle w:val="ListBullet"/>
      </w:pPr>
      <w:r>
        <w:t>Pending Client Follow-ups</w:t>
      </w:r>
    </w:p>
    <w:p>
      <w:pPr>
        <w:pStyle w:val="ListBullet"/>
      </w:pPr>
      <w:r>
        <w:t>Pending Invoices</w:t>
      </w:r>
    </w:p>
    <w:p>
      <w:pPr>
        <w:pStyle w:val="ListBullet"/>
      </w:pPr>
      <w:r>
        <w:t>Collection Follow-ups</w:t>
      </w:r>
    </w:p>
    <w:p>
      <w:pPr>
        <w:pStyle w:val="ListBullet"/>
      </w:pPr>
      <w:r>
        <w:t>Estimated Revenue</w:t>
      </w:r>
    </w:p>
    <w:p>
      <w:pPr>
        <w:pStyle w:val="ListBullet"/>
      </w:pPr>
      <w:r>
        <w:t>Closed Revenue</w:t>
      </w:r>
    </w:p>
    <w:p>
      <w:pPr>
        <w:pStyle w:val="ListBullet"/>
      </w:pPr>
      <w:r>
        <w:t>Aging Outstanding</w:t>
      </w:r>
    </w:p>
    <w:p>
      <w:pPr>
        <w:pStyle w:val="Heading2"/>
      </w:pPr>
      <w:r>
        <w:t>Client 360 Tabs</w:t>
      </w:r>
    </w:p>
    <w:p>
      <w:pPr>
        <w:pStyle w:val="ListBullet"/>
      </w:pPr>
      <w:r>
        <w:t>Overview</w:t>
      </w:r>
    </w:p>
    <w:p>
      <w:pPr>
        <w:pStyle w:val="ListBullet"/>
      </w:pPr>
      <w:r>
        <w:t>Contacts</w:t>
      </w:r>
    </w:p>
    <w:p>
      <w:pPr>
        <w:pStyle w:val="ListBullet"/>
      </w:pPr>
      <w:r>
        <w:t>Job Requirements</w:t>
      </w:r>
    </w:p>
    <w:p>
      <w:pPr>
        <w:pStyle w:val="ListBullet"/>
      </w:pPr>
      <w:r>
        <w:t>Submissions</w:t>
      </w:r>
    </w:p>
    <w:p>
      <w:pPr>
        <w:pStyle w:val="ListBullet"/>
      </w:pPr>
      <w:r>
        <w:t>Documents</w:t>
      </w:r>
    </w:p>
    <w:p>
      <w:pPr>
        <w:pStyle w:val="ListBullet"/>
      </w:pPr>
      <w:r>
        <w:t>Commercials</w:t>
      </w:r>
    </w:p>
    <w:p>
      <w:pPr>
        <w:pStyle w:val="ListBullet"/>
      </w:pPr>
      <w:r>
        <w:t>Notes</w:t>
      </w:r>
    </w:p>
    <w:p>
      <w:pPr>
        <w:pStyle w:val="ListBullet"/>
      </w:pPr>
      <w:r>
        <w:t>Invoices</w:t>
      </w:r>
    </w:p>
    <w:p>
      <w:pPr>
        <w:pStyle w:val="ListBullet"/>
      </w:pPr>
      <w:r>
        <w:t>Activity Timeline</w:t>
      </w:r>
    </w:p>
    <w:p>
      <w:pPr>
        <w:pStyle w:val="Heading2"/>
      </w:pPr>
      <w:r>
        <w:t>JD 360 Tabs</w:t>
      </w:r>
    </w:p>
    <w:p>
      <w:pPr>
        <w:pStyle w:val="ListBullet"/>
      </w:pPr>
      <w:r>
        <w:t>Overview</w:t>
      </w:r>
    </w:p>
    <w:p>
      <w:pPr>
        <w:pStyle w:val="ListBullet"/>
      </w:pPr>
      <w:r>
        <w:t>Job Description</w:t>
      </w:r>
    </w:p>
    <w:p>
      <w:pPr>
        <w:pStyle w:val="ListBullet"/>
      </w:pPr>
      <w:r>
        <w:t>Assigned Recruiters</w:t>
      </w:r>
    </w:p>
    <w:p>
      <w:pPr>
        <w:pStyle w:val="ListBullet"/>
      </w:pPr>
      <w:r>
        <w:t>Candidates</w:t>
      </w:r>
    </w:p>
    <w:p>
      <w:pPr>
        <w:pStyle w:val="ListBullet"/>
      </w:pPr>
      <w:r>
        <w:t>Submissions</w:t>
      </w:r>
    </w:p>
    <w:p>
      <w:pPr>
        <w:pStyle w:val="ListBullet"/>
      </w:pPr>
      <w:r>
        <w:t>Client Feedback</w:t>
      </w:r>
    </w:p>
    <w:p>
      <w:pPr>
        <w:pStyle w:val="ListBullet"/>
      </w:pPr>
      <w:r>
        <w:t>Timeline</w:t>
      </w:r>
    </w:p>
    <w:p>
      <w:pPr>
        <w:pStyle w:val="ListBullet"/>
      </w:pPr>
      <w:r>
        <w:t>Commercials - protected</w:t>
      </w:r>
    </w:p>
    <w:p>
      <w:pPr>
        <w:pStyle w:val="ListBullet"/>
      </w:pPr>
      <w:r>
        <w:t>Documents</w:t>
      </w:r>
    </w:p>
    <w:p>
      <w:pPr>
        <w:pStyle w:val="Heading2"/>
      </w:pPr>
      <w:r>
        <w:t>Sales AI Enhancements</w:t>
      </w:r>
    </w:p>
    <w:p>
      <w:pPr>
        <w:pStyle w:val="ListBullet"/>
      </w:pPr>
      <w:r>
        <w:t>AI client summary</w:t>
      </w:r>
    </w:p>
    <w:p>
      <w:pPr>
        <w:pStyle w:val="ListBullet"/>
      </w:pPr>
      <w:r>
        <w:t>AI follow-up reminder</w:t>
      </w:r>
    </w:p>
    <w:p>
      <w:pPr>
        <w:pStyle w:val="ListBullet"/>
      </w:pPr>
      <w:r>
        <w:t>AI JD cleanup and skill extraction</w:t>
      </w:r>
    </w:p>
    <w:p>
      <w:pPr>
        <w:pStyle w:val="ListBullet"/>
      </w:pPr>
      <w:r>
        <w:t>AI Boolean search suggestion</w:t>
      </w:r>
    </w:p>
    <w:p>
      <w:pPr>
        <w:pStyle w:val="ListBullet"/>
      </w:pPr>
      <w:r>
        <w:t>AI submission summary for client email</w:t>
      </w:r>
    </w:p>
    <w:p>
      <w:pPr>
        <w:pStyle w:val="ListBullet"/>
      </w:pPr>
      <w:r>
        <w:t>AI revenue/margin alert</w:t>
      </w:r>
    </w:p>
    <w:p>
      <w:pPr>
        <w:pStyle w:val="ListBullet"/>
      </w:pPr>
      <w:r>
        <w:t>AI duplicate client/contact warning</w:t>
      </w:r>
    </w:p>
    <w:p>
      <w:pPr>
        <w:pStyle w:val="Heading1"/>
      </w:pPr>
      <w:r>
        <w:t>5. Recruitment ATS - Connected but Protected</w:t>
      </w:r>
    </w:p>
    <w:p>
      <w:r>
        <w:t>Recruitment remains separate for sourcing and delivery, but receives JDs from Sales through assignment. Existing recruitment module must not be broken.</w:t>
      </w:r>
    </w:p>
    <w:p>
      <w:pPr>
        <w:pStyle w:val="ListBullet"/>
      </w:pPr>
      <w:r>
        <w:t>Recruiter sees assigned JDs only</w:t>
      </w:r>
    </w:p>
    <w:p>
      <w:pPr>
        <w:pStyle w:val="ListBullet"/>
      </w:pPr>
      <w:r>
        <w:t>Candidate ID required for every candidate</w:t>
      </w:r>
    </w:p>
    <w:p>
      <w:pPr>
        <w:pStyle w:val="ListBullet"/>
      </w:pPr>
      <w:r>
        <w:t>Candidate can be submitted to multiple JDs with separate Submission IDs</w:t>
      </w:r>
    </w:p>
    <w:p>
      <w:pPr>
        <w:pStyle w:val="ListBullet"/>
      </w:pPr>
      <w:r>
        <w:t>Recruiter cannot edit billing rate, payment terms, client agreement or sales notes</w:t>
      </w:r>
    </w:p>
    <w:p>
      <w:pPr>
        <w:pStyle w:val="ListBullet"/>
      </w:pPr>
      <w:r>
        <w:t>Submission stages: Draft, Submitted to Sales, Submitted to Client, Client Review, Interview, Offer, Joined, Rejected</w:t>
      </w:r>
    </w:p>
    <w:p>
      <w:pPr>
        <w:pStyle w:val="ListBullet"/>
      </w:pPr>
      <w:r>
        <w:t>After Joined stage, create Deployed Staff ID for workforce delivery if candidate works for client</w:t>
      </w:r>
    </w:p>
    <w:p>
      <w:pPr>
        <w:pStyle w:val="ListBullet"/>
      </w:pPr>
      <w:r>
        <w:t>Recruiter dashboard should include assigned jobs, candidates today, submissions this week, interviews, offers, follow-ups, and own ESS summary</w:t>
      </w:r>
    </w:p>
    <w:p>
      <w:pPr>
        <w:pStyle w:val="Heading1"/>
      </w:pPr>
      <w:r>
        <w:t>6. HR Operations and ESS - Internal Staff Self Service</w:t>
      </w:r>
    </w:p>
    <w:p>
      <w:r>
        <w:t>Every internal team member, including recruiters, sales, HR, finance and payroll users, must use one login. They get work modules based on role and ESS based on Employee ID.</w:t>
      </w:r>
    </w:p>
    <w:p>
      <w:pPr>
        <w:pStyle w:val="ListBullet"/>
      </w:pPr>
      <w:r>
        <w:t>My Profile with personal, employment, emergency, bank, tax and document details</w:t>
      </w:r>
    </w:p>
    <w:p>
      <w:pPr>
        <w:pStyle w:val="ListBullet"/>
      </w:pPr>
      <w:r>
        <w:t>My Attendance with clock-in/out or monthly attendance view</w:t>
      </w:r>
    </w:p>
    <w:p>
      <w:pPr>
        <w:pStyle w:val="ListBullet"/>
      </w:pPr>
      <w:r>
        <w:t>My Leave with balances and leave application</w:t>
      </w:r>
    </w:p>
    <w:p>
      <w:pPr>
        <w:pStyle w:val="ListBullet"/>
      </w:pPr>
      <w:r>
        <w:t>My Payslips view-only</w:t>
      </w:r>
    </w:p>
    <w:p>
      <w:pPr>
        <w:pStyle w:val="ListBullet"/>
      </w:pPr>
      <w:r>
        <w:t>My Claims request and status</w:t>
      </w:r>
    </w:p>
    <w:p>
      <w:pPr>
        <w:pStyle w:val="ListBullet"/>
      </w:pPr>
      <w:r>
        <w:t>My Tax Forms view-only</w:t>
      </w:r>
    </w:p>
    <w:p>
      <w:pPr>
        <w:pStyle w:val="ListBullet"/>
      </w:pPr>
      <w:r>
        <w:t>My Documents secure personal documents</w:t>
      </w:r>
    </w:p>
    <w:p>
      <w:pPr>
        <w:pStyle w:val="ListBullet"/>
      </w:pPr>
      <w:r>
        <w:t>My Calendar with company holidays, state holidays, rest days and leave status</w:t>
      </w:r>
    </w:p>
    <w:p>
      <w:pPr>
        <w:pStyle w:val="Heading2"/>
      </w:pPr>
      <w:r>
        <w:t>Malaysia Leave and Holiday Structure</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059669"/>
          </w:tcPr>
          <w:p>
            <w:r/>
            <w:r>
              <w:rPr>
                <w:b/>
                <w:color w:val="FFFFFF"/>
                <w:sz w:val="18"/>
              </w:rPr>
              <w:t>Area</w:t>
            </w:r>
          </w:p>
        </w:tc>
        <w:tc>
          <w:tcPr>
            <w:tcW w:type="dxa" w:w="3552"/>
            <w:vAlign w:val="center"/>
            <w:shd w:fill="059669"/>
          </w:tcPr>
          <w:p>
            <w:r/>
            <w:r>
              <w:rPr>
                <w:b/>
                <w:color w:val="FFFFFF"/>
                <w:sz w:val="18"/>
              </w:rPr>
              <w:t>Requirement</w:t>
            </w:r>
          </w:p>
        </w:tc>
        <w:tc>
          <w:tcPr>
            <w:tcW w:type="dxa" w:w="3552"/>
            <w:vAlign w:val="center"/>
            <w:shd w:fill="059669"/>
          </w:tcPr>
          <w:p>
            <w:r/>
            <w:r>
              <w:rPr>
                <w:b/>
                <w:color w:val="FFFFFF"/>
                <w:sz w:val="18"/>
              </w:rPr>
              <w:t>Rules</w:t>
            </w:r>
          </w:p>
        </w:tc>
      </w:tr>
      <w:tr>
        <w:tc>
          <w:tcPr>
            <w:tcW w:type="dxa" w:w="3552"/>
            <w:vAlign w:val="center"/>
          </w:tcPr>
          <w:p>
            <w:r/>
            <w:r>
              <w:rPr>
                <w:b w:val="0"/>
                <w:sz w:val="18"/>
              </w:rPr>
              <w:t>Holiday Calendar</w:t>
            </w:r>
          </w:p>
        </w:tc>
        <w:tc>
          <w:tcPr>
            <w:tcW w:type="dxa" w:w="3552"/>
            <w:vAlign w:val="center"/>
          </w:tcPr>
          <w:p>
            <w:r/>
            <w:r>
              <w:rPr>
                <w:b w:val="0"/>
                <w:sz w:val="18"/>
              </w:rPr>
              <w:t>Must support Malaysia country + state wise holidays</w:t>
            </w:r>
          </w:p>
        </w:tc>
        <w:tc>
          <w:tcPr>
            <w:tcW w:type="dxa" w:w="3552"/>
            <w:vAlign w:val="center"/>
          </w:tcPr>
          <w:p>
            <w:r/>
            <w:r>
              <w:rPr>
                <w:b w:val="0"/>
                <w:sz w:val="18"/>
              </w:rPr>
              <w:t>Employee sees holidays based on assigned work state/location</w:t>
            </w:r>
          </w:p>
        </w:tc>
      </w:tr>
      <w:tr>
        <w:tc>
          <w:tcPr>
            <w:tcW w:type="dxa" w:w="3552"/>
            <w:vAlign w:val="center"/>
          </w:tcPr>
          <w:p>
            <w:r/>
            <w:r>
              <w:rPr>
                <w:b w:val="0"/>
                <w:sz w:val="18"/>
              </w:rPr>
              <w:t>Leave Types</w:t>
            </w:r>
          </w:p>
        </w:tc>
        <w:tc>
          <w:tcPr>
            <w:tcW w:type="dxa" w:w="3552"/>
            <w:vAlign w:val="center"/>
          </w:tcPr>
          <w:p>
            <w:r/>
            <w:r>
              <w:rPr>
                <w:b w:val="0"/>
                <w:sz w:val="18"/>
              </w:rPr>
              <w:t>Annual, Medical/Sick, Hospitalization, No Pay, Replacement, Compassionate, Company Off Day</w:t>
            </w:r>
          </w:p>
        </w:tc>
        <w:tc>
          <w:tcPr>
            <w:tcW w:type="dxa" w:w="3552"/>
            <w:vAlign w:val="center"/>
          </w:tcPr>
          <w:p>
            <w:r/>
            <w:r>
              <w:rPr>
                <w:b w:val="0"/>
                <w:sz w:val="18"/>
              </w:rPr>
              <w:t>Configurable by company, country, state, employment type</w:t>
            </w:r>
          </w:p>
        </w:tc>
      </w:tr>
      <w:tr>
        <w:tc>
          <w:tcPr>
            <w:tcW w:type="dxa" w:w="3552"/>
            <w:vAlign w:val="center"/>
          </w:tcPr>
          <w:p>
            <w:r/>
            <w:r>
              <w:rPr>
                <w:b w:val="0"/>
                <w:sz w:val="18"/>
              </w:rPr>
              <w:t>Leave Balance</w:t>
            </w:r>
          </w:p>
        </w:tc>
        <w:tc>
          <w:tcPr>
            <w:tcW w:type="dxa" w:w="3552"/>
            <w:vAlign w:val="center"/>
          </w:tcPr>
          <w:p>
            <w:r/>
            <w:r>
              <w:rPr>
                <w:b w:val="0"/>
                <w:sz w:val="18"/>
              </w:rPr>
              <w:t>Entitled, carried forward, taken, pending, remaining</w:t>
            </w:r>
          </w:p>
        </w:tc>
        <w:tc>
          <w:tcPr>
            <w:tcW w:type="dxa" w:w="3552"/>
            <w:vAlign w:val="center"/>
          </w:tcPr>
          <w:p>
            <w:r/>
            <w:r>
              <w:rPr>
                <w:b w:val="0"/>
                <w:sz w:val="18"/>
              </w:rPr>
              <w:t>Show balance before apply; prevent over-apply unless admin override</w:t>
            </w:r>
          </w:p>
        </w:tc>
      </w:tr>
      <w:tr>
        <w:tc>
          <w:tcPr>
            <w:tcW w:type="dxa" w:w="3552"/>
            <w:vAlign w:val="center"/>
          </w:tcPr>
          <w:p>
            <w:r/>
            <w:r>
              <w:rPr>
                <w:b w:val="0"/>
                <w:sz w:val="18"/>
              </w:rPr>
              <w:t>Approval Queue</w:t>
            </w:r>
          </w:p>
        </w:tc>
        <w:tc>
          <w:tcPr>
            <w:tcW w:type="dxa" w:w="3552"/>
            <w:vAlign w:val="center"/>
          </w:tcPr>
          <w:p>
            <w:r/>
            <w:r>
              <w:rPr>
                <w:b w:val="0"/>
                <w:sz w:val="18"/>
              </w:rPr>
              <w:t>Employee -&gt; Manager/HR/Main Admin based on configuration</w:t>
            </w:r>
          </w:p>
        </w:tc>
        <w:tc>
          <w:tcPr>
            <w:tcW w:type="dxa" w:w="3552"/>
            <w:vAlign w:val="center"/>
          </w:tcPr>
          <w:p>
            <w:r/>
            <w:r>
              <w:rPr>
                <w:b w:val="0"/>
                <w:sz w:val="18"/>
              </w:rPr>
              <w:t>For now, route leave approvals to Main Admin or assigned approver queue</w:t>
            </w:r>
          </w:p>
        </w:tc>
      </w:tr>
      <w:tr>
        <w:tc>
          <w:tcPr>
            <w:tcW w:type="dxa" w:w="3552"/>
            <w:vAlign w:val="center"/>
          </w:tcPr>
          <w:p>
            <w:r/>
            <w:r>
              <w:rPr>
                <w:b w:val="0"/>
                <w:sz w:val="18"/>
              </w:rPr>
              <w:t>Calendar View</w:t>
            </w:r>
          </w:p>
        </w:tc>
        <w:tc>
          <w:tcPr>
            <w:tcW w:type="dxa" w:w="3552"/>
            <w:vAlign w:val="center"/>
          </w:tcPr>
          <w:p>
            <w:r/>
            <w:r>
              <w:rPr>
                <w:b w:val="0"/>
                <w:sz w:val="18"/>
              </w:rPr>
              <w:t>Month/year view with H, A, Rest Day, Public Holiday, Leave</w:t>
            </w:r>
          </w:p>
        </w:tc>
        <w:tc>
          <w:tcPr>
            <w:tcW w:type="dxa" w:w="3552"/>
            <w:vAlign w:val="center"/>
          </w:tcPr>
          <w:p>
            <w:r/>
            <w:r>
              <w:rPr>
                <w:b w:val="0"/>
                <w:sz w:val="18"/>
              </w:rPr>
              <w:t>Sticky table header, proper horizontal scroll, no broken scroll</w:t>
            </w:r>
          </w:p>
        </w:tc>
      </w:tr>
      <w:tr>
        <w:tc>
          <w:tcPr>
            <w:tcW w:type="dxa" w:w="3552"/>
            <w:vAlign w:val="center"/>
          </w:tcPr>
          <w:p>
            <w:r/>
            <w:r>
              <w:rPr>
                <w:b w:val="0"/>
                <w:sz w:val="18"/>
              </w:rPr>
              <w:t>Documents</w:t>
            </w:r>
          </w:p>
        </w:tc>
        <w:tc>
          <w:tcPr>
            <w:tcW w:type="dxa" w:w="3552"/>
            <w:vAlign w:val="center"/>
          </w:tcPr>
          <w:p>
            <w:r/>
            <w:r>
              <w:rPr>
                <w:b w:val="0"/>
                <w:sz w:val="18"/>
              </w:rPr>
              <w:t>Medical certificate or supporting files where required</w:t>
            </w:r>
          </w:p>
        </w:tc>
        <w:tc>
          <w:tcPr>
            <w:tcW w:type="dxa" w:w="3552"/>
            <w:vAlign w:val="center"/>
          </w:tcPr>
          <w:p>
            <w:r/>
            <w:r>
              <w:rPr>
                <w:b w:val="0"/>
                <w:sz w:val="18"/>
              </w:rPr>
              <w:t>Private upload with validation and audit log</w:t>
            </w:r>
          </w:p>
        </w:tc>
      </w:tr>
    </w:tbl>
    <w:p>
      <w:pPr>
        <w:pStyle w:val="Heading1"/>
      </w:pPr>
      <w:r>
        <w:t>7. Payroll - Simplified User Friendly Structure</w:t>
      </w:r>
    </w:p>
    <w:p>
      <w:r>
        <w:t>Payroll is an ocean, so Tekgen should hide complexity behind simple steps. Only Payroll team and Main Admin can access payroll processing. Employees can only view their own payslips and tax forms.</w:t>
      </w:r>
    </w:p>
    <w:p>
      <w:pPr>
        <w:pStyle w:val="Heading2"/>
      </w:pPr>
      <w:r>
        <w:t>Payroll Dashboard</w:t>
      </w:r>
    </w:p>
    <w:p>
      <w:pPr>
        <w:pStyle w:val="ListBullet"/>
      </w:pPr>
      <w:r>
        <w:t>Payroll period selector</w:t>
      </w:r>
    </w:p>
    <w:p>
      <w:pPr>
        <w:pStyle w:val="ListBullet"/>
      </w:pPr>
      <w:r>
        <w:t>Employees ready for payroll</w:t>
      </w:r>
    </w:p>
    <w:p>
      <w:pPr>
        <w:pStyle w:val="ListBullet"/>
      </w:pPr>
      <w:r>
        <w:t>Missing attendance/timesheet alerts</w:t>
      </w:r>
    </w:p>
    <w:p>
      <w:pPr>
        <w:pStyle w:val="ListBullet"/>
      </w:pPr>
      <w:r>
        <w:t>Claims pending payout</w:t>
      </w:r>
    </w:p>
    <w:p>
      <w:pPr>
        <w:pStyle w:val="ListBullet"/>
      </w:pPr>
      <w:r>
        <w:t>Draft payroll amount</w:t>
      </w:r>
    </w:p>
    <w:p>
      <w:pPr>
        <w:pStyle w:val="ListBullet"/>
      </w:pPr>
      <w:r>
        <w:t>Approval status</w:t>
      </w:r>
    </w:p>
    <w:p>
      <w:pPr>
        <w:pStyle w:val="ListBullet"/>
      </w:pPr>
      <w:r>
        <w:t>Generated payslips</w:t>
      </w:r>
    </w:p>
    <w:p>
      <w:pPr>
        <w:pStyle w:val="ListBullet"/>
      </w:pPr>
      <w:r>
        <w:t>Statutory summary</w:t>
      </w:r>
    </w:p>
    <w:p>
      <w:pPr>
        <w:pStyle w:val="ListBullet"/>
      </w:pPr>
      <w:r>
        <w:t>Errors and exceptions</w:t>
      </w:r>
    </w:p>
    <w:p>
      <w:pPr>
        <w:pStyle w:val="Heading2"/>
      </w:pPr>
      <w:r>
        <w:t>Payroll Run Flow</w:t>
      </w:r>
    </w:p>
    <w:p>
      <w:pPr>
        <w:pStyle w:val="ListBullet"/>
      </w:pPr>
      <w:r>
        <w:t>Select month and entity: Internal Staff or Deployed Staff</w:t>
      </w:r>
    </w:p>
    <w:p>
      <w:pPr>
        <w:pStyle w:val="ListBullet"/>
      </w:pPr>
      <w:r>
        <w:t>Pull attendance/timesheets/leave/claims</w:t>
      </w:r>
    </w:p>
    <w:p>
      <w:pPr>
        <w:pStyle w:val="ListBullet"/>
      </w:pPr>
      <w:r>
        <w:t>Review salary components and deductions</w:t>
      </w:r>
    </w:p>
    <w:p>
      <w:pPr>
        <w:pStyle w:val="ListBullet"/>
      </w:pPr>
      <w:r>
        <w:t>AI anomaly check</w:t>
      </w:r>
    </w:p>
    <w:p>
      <w:pPr>
        <w:pStyle w:val="ListBullet"/>
      </w:pPr>
      <w:r>
        <w:t>Draft payroll run</w:t>
      </w:r>
    </w:p>
    <w:p>
      <w:pPr>
        <w:pStyle w:val="ListBullet"/>
      </w:pPr>
      <w:r>
        <w:t>Payroll approval</w:t>
      </w:r>
    </w:p>
    <w:p>
      <w:pPr>
        <w:pStyle w:val="ListBullet"/>
      </w:pPr>
      <w:r>
        <w:t>Generate payslips</w:t>
      </w:r>
    </w:p>
    <w:p>
      <w:pPr>
        <w:pStyle w:val="ListBullet"/>
      </w:pPr>
      <w:r>
        <w:t>Publish to employee ESS</w:t>
      </w:r>
    </w:p>
    <w:p>
      <w:pPr>
        <w:pStyle w:val="ListBullet"/>
      </w:pPr>
      <w:r>
        <w:t>Lock payroll period</w:t>
      </w:r>
    </w:p>
    <w:p>
      <w:pPr>
        <w:pStyle w:val="Heading2"/>
      </w:pPr>
      <w:r>
        <w:t>Salary Components</w:t>
      </w:r>
    </w:p>
    <w:p>
      <w:pPr>
        <w:pStyle w:val="ListBullet"/>
      </w:pPr>
      <w:r>
        <w:t>Basic salary</w:t>
      </w:r>
    </w:p>
    <w:p>
      <w:pPr>
        <w:pStyle w:val="ListBullet"/>
      </w:pPr>
      <w:r>
        <w:t>Allowances</w:t>
      </w:r>
    </w:p>
    <w:p>
      <w:pPr>
        <w:pStyle w:val="ListBullet"/>
      </w:pPr>
      <w:r>
        <w:t>Overtime</w:t>
      </w:r>
    </w:p>
    <w:p>
      <w:pPr>
        <w:pStyle w:val="ListBullet"/>
      </w:pPr>
      <w:r>
        <w:t>Claims payout</w:t>
      </w:r>
    </w:p>
    <w:p>
      <w:pPr>
        <w:pStyle w:val="ListBullet"/>
      </w:pPr>
      <w:r>
        <w:t>Unpaid leave deduction</w:t>
      </w:r>
    </w:p>
    <w:p>
      <w:pPr>
        <w:pStyle w:val="ListBullet"/>
      </w:pPr>
      <w:r>
        <w:t>EPF/SOCSO/EIS/PCB or configured statutory items</w:t>
      </w:r>
    </w:p>
    <w:p>
      <w:pPr>
        <w:pStyle w:val="ListBullet"/>
      </w:pPr>
      <w:r>
        <w:t>Employer contributions</w:t>
      </w:r>
    </w:p>
    <w:p>
      <w:pPr>
        <w:pStyle w:val="ListBullet"/>
      </w:pPr>
      <w:r>
        <w:t>Net salary</w:t>
      </w:r>
    </w:p>
    <w:p>
      <w:pPr>
        <w:pStyle w:val="ListBullet"/>
      </w:pPr>
      <w:r>
        <w:t>Gross salary</w:t>
      </w:r>
    </w:p>
    <w:p>
      <w:pPr>
        <w:pStyle w:val="Heading2"/>
      </w:pPr>
      <w:r>
        <w:t>Malaysia Local/Expat Handling</w:t>
      </w:r>
    </w:p>
    <w:p>
      <w:pPr>
        <w:pStyle w:val="ListBullet"/>
      </w:pPr>
      <w:r>
        <w:t>Worker category: Local Malaysian, Expat in Malaysia, Overseas Expat Hire</w:t>
      </w:r>
    </w:p>
    <w:p>
      <w:pPr>
        <w:pStyle w:val="ListBullet"/>
      </w:pPr>
      <w:r>
        <w:t>Resident/non-resident tax status</w:t>
      </w:r>
    </w:p>
    <w:p>
      <w:pPr>
        <w:pStyle w:val="ListBullet"/>
      </w:pPr>
      <w:r>
        <w:t>Visa/work permit details</w:t>
      </w:r>
    </w:p>
    <w:p>
      <w:pPr>
        <w:pStyle w:val="ListBullet"/>
      </w:pPr>
      <w:r>
        <w:t>Tax rules configurable by effective date</w:t>
      </w:r>
    </w:p>
    <w:p>
      <w:pPr>
        <w:pStyle w:val="ListBullet"/>
      </w:pPr>
      <w:r>
        <w:t>Do not hardcode tax percentages; keep admin-configurable compliance table</w:t>
      </w:r>
    </w:p>
    <w:p>
      <w:pPr>
        <w:pStyle w:val="Heading1"/>
      </w:pPr>
      <w:r>
        <w:t>8. Finance &amp; Invoices - Client Billing Structure</w:t>
      </w:r>
    </w:p>
    <w:p>
      <w:r>
        <w:t>Finance handles money. Sales may see client invoice status for follow-up, but finance owns invoice creation, payment tracking and accounting records.</w:t>
      </w:r>
    </w:p>
    <w:p>
      <w:pPr>
        <w:pStyle w:val="Heading2"/>
      </w:pPr>
      <w:r>
        <w:t>Finance Dashboard</w:t>
      </w:r>
    </w:p>
    <w:p>
      <w:pPr>
        <w:pStyle w:val="ListBullet"/>
      </w:pPr>
      <w:r>
        <w:t>Invoices pending</w:t>
      </w:r>
    </w:p>
    <w:p>
      <w:pPr>
        <w:pStyle w:val="ListBullet"/>
      </w:pPr>
      <w:r>
        <w:t>Invoices overdue</w:t>
      </w:r>
    </w:p>
    <w:p>
      <w:pPr>
        <w:pStyle w:val="ListBullet"/>
      </w:pPr>
      <w:r>
        <w:t>Payments received this month</w:t>
      </w:r>
    </w:p>
    <w:p>
      <w:pPr>
        <w:pStyle w:val="ListBullet"/>
      </w:pPr>
      <w:r>
        <w:t>Client outstanding aging</w:t>
      </w:r>
    </w:p>
    <w:p>
      <w:pPr>
        <w:pStyle w:val="ListBullet"/>
      </w:pPr>
      <w:r>
        <w:t>Draft invoices from deployed staff</w:t>
      </w:r>
    </w:p>
    <w:p>
      <w:pPr>
        <w:pStyle w:val="ListBullet"/>
      </w:pPr>
      <w:r>
        <w:t>Revenue by client</w:t>
      </w:r>
    </w:p>
    <w:p>
      <w:pPr>
        <w:pStyle w:val="ListBullet"/>
      </w:pPr>
      <w:r>
        <w:t>Margin by JD/client</w:t>
      </w:r>
    </w:p>
    <w:p>
      <w:pPr>
        <w:pStyle w:val="ListBullet"/>
      </w:pPr>
      <w:r>
        <w:t>Collection follow-ups</w:t>
      </w:r>
    </w:p>
    <w:p>
      <w:pPr>
        <w:pStyle w:val="ListBullet"/>
      </w:pPr>
      <w:r>
        <w:t>Receipts pending upload</w:t>
      </w:r>
    </w:p>
    <w:p>
      <w:pPr>
        <w:pStyle w:val="Heading2"/>
      </w:pPr>
      <w:r>
        <w:t>Invoice Flow</w:t>
      </w:r>
    </w:p>
    <w:p>
      <w:pPr>
        <w:pStyle w:val="ListBullet"/>
      </w:pPr>
      <w:r>
        <w:t>Client agreement/rate card approved</w:t>
      </w:r>
    </w:p>
    <w:p>
      <w:pPr>
        <w:pStyle w:val="ListBullet"/>
      </w:pPr>
      <w:r>
        <w:t>Candidate joined/deployed</w:t>
      </w:r>
    </w:p>
    <w:p>
      <w:pPr>
        <w:pStyle w:val="ListBullet"/>
      </w:pPr>
      <w:r>
        <w:t>Timesheet/attendance confirmed</w:t>
      </w:r>
    </w:p>
    <w:p>
      <w:pPr>
        <w:pStyle w:val="ListBullet"/>
      </w:pPr>
      <w:r>
        <w:t>Draft invoice generated by Client ID + Deployed Staff ID + JD ID</w:t>
      </w:r>
    </w:p>
    <w:p>
      <w:pPr>
        <w:pStyle w:val="ListBullet"/>
      </w:pPr>
      <w:r>
        <w:t>Finance reviews taxes/adjustments</w:t>
      </w:r>
    </w:p>
    <w:p>
      <w:pPr>
        <w:pStyle w:val="ListBullet"/>
      </w:pPr>
      <w:r>
        <w:t>Invoice approved</w:t>
      </w:r>
    </w:p>
    <w:p>
      <w:pPr>
        <w:pStyle w:val="ListBullet"/>
      </w:pPr>
      <w:r>
        <w:t>PDF generated</w:t>
      </w:r>
    </w:p>
    <w:p>
      <w:pPr>
        <w:pStyle w:val="ListBullet"/>
      </w:pPr>
      <w:r>
        <w:t>Sent to client</w:t>
      </w:r>
    </w:p>
    <w:p>
      <w:pPr>
        <w:pStyle w:val="ListBullet"/>
      </w:pPr>
      <w:r>
        <w:t>Payment status tracked</w:t>
      </w:r>
    </w:p>
    <w:p>
      <w:pPr>
        <w:pStyle w:val="ListBullet"/>
      </w:pPr>
      <w:r>
        <w:t>Receipt uploaded</w:t>
      </w:r>
    </w:p>
    <w:p>
      <w:pPr>
        <w:pStyle w:val="ListBullet"/>
      </w:pPr>
      <w:r>
        <w:t>Close invoice</w:t>
      </w:r>
    </w:p>
    <w:p>
      <w:pPr>
        <w:pStyle w:val="Heading2"/>
      </w:pPr>
      <w:r>
        <w:t>Invoice Types</w:t>
      </w:r>
    </w:p>
    <w:p>
      <w:pPr>
        <w:pStyle w:val="ListBullet"/>
      </w:pPr>
      <w:r>
        <w:t>Recruitment placement invoice</w:t>
      </w:r>
    </w:p>
    <w:p>
      <w:pPr>
        <w:pStyle w:val="ListBullet"/>
      </w:pPr>
      <w:r>
        <w:t>Monthly staffing invoice</w:t>
      </w:r>
    </w:p>
    <w:p>
      <w:pPr>
        <w:pStyle w:val="ListBullet"/>
      </w:pPr>
      <w:r>
        <w:t>Timesheet based invoice</w:t>
      </w:r>
    </w:p>
    <w:p>
      <w:pPr>
        <w:pStyle w:val="ListBullet"/>
      </w:pPr>
      <w:r>
        <w:t>Visa service invoice</w:t>
      </w:r>
    </w:p>
    <w:p>
      <w:pPr>
        <w:pStyle w:val="ListBullet"/>
      </w:pPr>
      <w:r>
        <w:t>Consulting/service invoice</w:t>
      </w:r>
    </w:p>
    <w:p>
      <w:pPr>
        <w:pStyle w:val="ListBullet"/>
      </w:pPr>
      <w:r>
        <w:t>Adjustment/credit note</w:t>
      </w:r>
    </w:p>
    <w:p>
      <w:pPr>
        <w:pStyle w:val="Heading2"/>
      </w:pPr>
      <w:r>
        <w:t>AI Finance Enhancements</w:t>
      </w:r>
    </w:p>
    <w:p>
      <w:pPr>
        <w:pStyle w:val="ListBullet"/>
      </w:pPr>
      <w:r>
        <w:t>AI draft invoice from deployment data</w:t>
      </w:r>
    </w:p>
    <w:p>
      <w:pPr>
        <w:pStyle w:val="ListBullet"/>
      </w:pPr>
      <w:r>
        <w:t>AI overdue payment reminder</w:t>
      </w:r>
    </w:p>
    <w:p>
      <w:pPr>
        <w:pStyle w:val="ListBullet"/>
      </w:pPr>
      <w:r>
        <w:t>AI mismatch detection: candidate active but not billed</w:t>
      </w:r>
    </w:p>
    <w:p>
      <w:pPr>
        <w:pStyle w:val="ListBullet"/>
      </w:pPr>
      <w:r>
        <w:t>AI margin alert</w:t>
      </w:r>
    </w:p>
    <w:p>
      <w:pPr>
        <w:pStyle w:val="ListBullet"/>
      </w:pPr>
      <w:r>
        <w:t>AI invoice email draft</w:t>
      </w:r>
    </w:p>
    <w:p>
      <w:pPr>
        <w:pStyle w:val="ListBullet"/>
      </w:pPr>
      <w:r>
        <w:t>AI collection summary by client</w:t>
      </w:r>
    </w:p>
    <w:p>
      <w:pPr>
        <w:pStyle w:val="Heading1"/>
      </w:pPr>
      <w:r>
        <w:t>9. Documents and Compliance Vault</w:t>
      </w:r>
    </w:p>
    <w:p>
      <w:pPr>
        <w:pStyle w:val="ListBullet"/>
      </w:pPr>
      <w:r>
        <w:t>Central document table with Document ID and owner type: Employee, Candidate, Client, JD, Invoice, Agreement, Visa Case</w:t>
      </w:r>
    </w:p>
    <w:p>
      <w:pPr>
        <w:pStyle w:val="ListBullet"/>
      </w:pPr>
      <w:r>
        <w:t>Private storage only, no public URLs</w:t>
      </w:r>
    </w:p>
    <w:p>
      <w:pPr>
        <w:pStyle w:val="ListBullet"/>
      </w:pPr>
      <w:r>
        <w:t>File type/size validation</w:t>
      </w:r>
    </w:p>
    <w:p>
      <w:pPr>
        <w:pStyle w:val="ListBullet"/>
      </w:pPr>
      <w:r>
        <w:t>Download/view audit log</w:t>
      </w:r>
    </w:p>
    <w:p>
      <w:pPr>
        <w:pStyle w:val="ListBullet"/>
      </w:pPr>
      <w:r>
        <w:t>Expiry date and reminders for visa, passport, agreements and certificates</w:t>
      </w:r>
    </w:p>
    <w:p>
      <w:pPr>
        <w:pStyle w:val="ListBullet"/>
      </w:pPr>
      <w:r>
        <w:t>Document checklist by Malaysia local/expat/overseas expat and by client requirement</w:t>
      </w:r>
    </w:p>
    <w:p>
      <w:pPr>
        <w:pStyle w:val="ListBullet"/>
      </w:pPr>
      <w:r>
        <w:t>Status: Missing, Uploaded, Under Review, Approved, Rejected, Expired</w:t>
      </w:r>
    </w:p>
    <w:p>
      <w:pPr>
        <w:pStyle w:val="Heading1"/>
      </w:pPr>
      <w:r>
        <w:t>10. AI Layer - Advanced but Controlled</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7C3AED"/>
          </w:tcPr>
          <w:p>
            <w:r/>
            <w:r>
              <w:rPr>
                <w:b/>
                <w:color w:val="FFFFFF"/>
                <w:sz w:val="18"/>
              </w:rPr>
              <w:t>Area</w:t>
            </w:r>
          </w:p>
        </w:tc>
        <w:tc>
          <w:tcPr>
            <w:tcW w:type="dxa" w:w="3552"/>
            <w:vAlign w:val="center"/>
            <w:shd w:fill="7C3AED"/>
          </w:tcPr>
          <w:p>
            <w:r/>
            <w:r>
              <w:rPr>
                <w:b/>
                <w:color w:val="FFFFFF"/>
                <w:sz w:val="18"/>
              </w:rPr>
              <w:t>AI Feature</w:t>
            </w:r>
          </w:p>
        </w:tc>
        <w:tc>
          <w:tcPr>
            <w:tcW w:type="dxa" w:w="3552"/>
            <w:vAlign w:val="center"/>
            <w:shd w:fill="7C3AED"/>
          </w:tcPr>
          <w:p>
            <w:r/>
            <w:r>
              <w:rPr>
                <w:b/>
                <w:color w:val="FFFFFF"/>
                <w:sz w:val="18"/>
              </w:rPr>
              <w:t>Safety Rule</w:t>
            </w:r>
          </w:p>
        </w:tc>
      </w:tr>
      <w:tr>
        <w:tc>
          <w:tcPr>
            <w:tcW w:type="dxa" w:w="3552"/>
            <w:vAlign w:val="center"/>
          </w:tcPr>
          <w:p>
            <w:r/>
            <w:r>
              <w:rPr>
                <w:b w:val="0"/>
                <w:sz w:val="18"/>
              </w:rPr>
              <w:t>Sales</w:t>
            </w:r>
          </w:p>
        </w:tc>
        <w:tc>
          <w:tcPr>
            <w:tcW w:type="dxa" w:w="3552"/>
            <w:vAlign w:val="center"/>
          </w:tcPr>
          <w:p>
            <w:r/>
            <w:r>
              <w:rPr>
                <w:b w:val="0"/>
                <w:sz w:val="18"/>
              </w:rPr>
              <w:t>JD parsing, client summary, follow-up reminders</w:t>
            </w:r>
          </w:p>
        </w:tc>
        <w:tc>
          <w:tcPr>
            <w:tcW w:type="dxa" w:w="3552"/>
            <w:vAlign w:val="center"/>
          </w:tcPr>
          <w:p>
            <w:r/>
            <w:r>
              <w:rPr>
                <w:b w:val="0"/>
                <w:sz w:val="18"/>
              </w:rPr>
              <w:t>AI cannot change commercial terms automatically</w:t>
            </w:r>
          </w:p>
        </w:tc>
      </w:tr>
      <w:tr>
        <w:tc>
          <w:tcPr>
            <w:tcW w:type="dxa" w:w="3552"/>
            <w:vAlign w:val="center"/>
          </w:tcPr>
          <w:p>
            <w:r/>
            <w:r>
              <w:rPr>
                <w:b w:val="0"/>
                <w:sz w:val="18"/>
              </w:rPr>
              <w:t>Recruitment</w:t>
            </w:r>
          </w:p>
        </w:tc>
        <w:tc>
          <w:tcPr>
            <w:tcW w:type="dxa" w:w="3552"/>
            <w:vAlign w:val="center"/>
          </w:tcPr>
          <w:p>
            <w:r/>
            <w:r>
              <w:rPr>
                <w:b w:val="0"/>
                <w:sz w:val="18"/>
              </w:rPr>
              <w:t>Resume parsing, match score, duplicate candidate alert</w:t>
            </w:r>
          </w:p>
        </w:tc>
        <w:tc>
          <w:tcPr>
            <w:tcW w:type="dxa" w:w="3552"/>
            <w:vAlign w:val="center"/>
          </w:tcPr>
          <w:p>
            <w:r/>
            <w:r>
              <w:rPr>
                <w:b w:val="0"/>
                <w:sz w:val="18"/>
              </w:rPr>
              <w:t>AI cannot reject candidate without human action</w:t>
            </w:r>
          </w:p>
        </w:tc>
      </w:tr>
      <w:tr>
        <w:tc>
          <w:tcPr>
            <w:tcW w:type="dxa" w:w="3552"/>
            <w:vAlign w:val="center"/>
          </w:tcPr>
          <w:p>
            <w:r/>
            <w:r>
              <w:rPr>
                <w:b w:val="0"/>
                <w:sz w:val="18"/>
              </w:rPr>
              <w:t>HR</w:t>
            </w:r>
          </w:p>
        </w:tc>
        <w:tc>
          <w:tcPr>
            <w:tcW w:type="dxa" w:w="3552"/>
            <w:vAlign w:val="center"/>
          </w:tcPr>
          <w:p>
            <w:r/>
            <w:r>
              <w:rPr>
                <w:b w:val="0"/>
                <w:sz w:val="18"/>
              </w:rPr>
              <w:t>Profile completeness, leave balance explanation</w:t>
            </w:r>
          </w:p>
        </w:tc>
        <w:tc>
          <w:tcPr>
            <w:tcW w:type="dxa" w:w="3552"/>
            <w:vAlign w:val="center"/>
          </w:tcPr>
          <w:p>
            <w:r/>
            <w:r>
              <w:rPr>
                <w:b w:val="0"/>
                <w:sz w:val="18"/>
              </w:rPr>
              <w:t>AI cannot approve leave</w:t>
            </w:r>
          </w:p>
        </w:tc>
      </w:tr>
      <w:tr>
        <w:tc>
          <w:tcPr>
            <w:tcW w:type="dxa" w:w="3552"/>
            <w:vAlign w:val="center"/>
          </w:tcPr>
          <w:p>
            <w:r/>
            <w:r>
              <w:rPr>
                <w:b w:val="0"/>
                <w:sz w:val="18"/>
              </w:rPr>
              <w:t>Payroll</w:t>
            </w:r>
          </w:p>
        </w:tc>
        <w:tc>
          <w:tcPr>
            <w:tcW w:type="dxa" w:w="3552"/>
            <w:vAlign w:val="center"/>
          </w:tcPr>
          <w:p>
            <w:r/>
            <w:r>
              <w:rPr>
                <w:b w:val="0"/>
                <w:sz w:val="18"/>
              </w:rPr>
              <w:t>Anomaly detection, missing data warning</w:t>
            </w:r>
          </w:p>
        </w:tc>
        <w:tc>
          <w:tcPr>
            <w:tcW w:type="dxa" w:w="3552"/>
            <w:vAlign w:val="center"/>
          </w:tcPr>
          <w:p>
            <w:r/>
            <w:r>
              <w:rPr>
                <w:b w:val="0"/>
                <w:sz w:val="18"/>
              </w:rPr>
              <w:t>AI cannot finalize payroll</w:t>
            </w:r>
          </w:p>
        </w:tc>
      </w:tr>
      <w:tr>
        <w:tc>
          <w:tcPr>
            <w:tcW w:type="dxa" w:w="3552"/>
            <w:vAlign w:val="center"/>
          </w:tcPr>
          <w:p>
            <w:r/>
            <w:r>
              <w:rPr>
                <w:b w:val="0"/>
                <w:sz w:val="18"/>
              </w:rPr>
              <w:t>Finance</w:t>
            </w:r>
          </w:p>
        </w:tc>
        <w:tc>
          <w:tcPr>
            <w:tcW w:type="dxa" w:w="3552"/>
            <w:vAlign w:val="center"/>
          </w:tcPr>
          <w:p>
            <w:r/>
            <w:r>
              <w:rPr>
                <w:b w:val="0"/>
                <w:sz w:val="18"/>
              </w:rPr>
              <w:t>Invoice draft, overdue reminder, margin alert</w:t>
            </w:r>
          </w:p>
        </w:tc>
        <w:tc>
          <w:tcPr>
            <w:tcW w:type="dxa" w:w="3552"/>
            <w:vAlign w:val="center"/>
          </w:tcPr>
          <w:p>
            <w:r/>
            <w:r>
              <w:rPr>
                <w:b w:val="0"/>
                <w:sz w:val="18"/>
              </w:rPr>
              <w:t>AI cannot mark invoice paid</w:t>
            </w:r>
          </w:p>
        </w:tc>
      </w:tr>
      <w:tr>
        <w:tc>
          <w:tcPr>
            <w:tcW w:type="dxa" w:w="3552"/>
            <w:vAlign w:val="center"/>
          </w:tcPr>
          <w:p>
            <w:r/>
            <w:r>
              <w:rPr>
                <w:b w:val="0"/>
                <w:sz w:val="18"/>
              </w:rPr>
              <w:t>Documents</w:t>
            </w:r>
          </w:p>
        </w:tc>
        <w:tc>
          <w:tcPr>
            <w:tcW w:type="dxa" w:w="3552"/>
            <w:vAlign w:val="center"/>
          </w:tcPr>
          <w:p>
            <w:r/>
            <w:r>
              <w:rPr>
                <w:b w:val="0"/>
                <w:sz w:val="18"/>
              </w:rPr>
              <w:t>Missing document checklist, expiry alert</w:t>
            </w:r>
          </w:p>
        </w:tc>
        <w:tc>
          <w:tcPr>
            <w:tcW w:type="dxa" w:w="3552"/>
            <w:vAlign w:val="center"/>
          </w:tcPr>
          <w:p>
            <w:r/>
            <w:r>
              <w:rPr>
                <w:b w:val="0"/>
                <w:sz w:val="18"/>
              </w:rPr>
              <w:t>AI cannot expose restricted files</w:t>
            </w:r>
          </w:p>
        </w:tc>
      </w:tr>
    </w:tbl>
    <w:p>
      <w:pPr>
        <w:pStyle w:val="Heading1"/>
      </w:pPr>
      <w:r>
        <w:t>11. Database Tables - Minimum Required</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334155"/>
          </w:tcPr>
          <w:p>
            <w:r/>
            <w:r>
              <w:rPr>
                <w:b/>
                <w:color w:val="FFFFFF"/>
                <w:sz w:val="18"/>
              </w:rPr>
              <w:t>Master Tables</w:t>
            </w:r>
          </w:p>
        </w:tc>
        <w:tc>
          <w:tcPr>
            <w:tcW w:type="dxa" w:w="3552"/>
            <w:vAlign w:val="center"/>
            <w:shd w:fill="334155"/>
          </w:tcPr>
          <w:p>
            <w:r/>
            <w:r>
              <w:rPr>
                <w:b/>
                <w:color w:val="FFFFFF"/>
                <w:sz w:val="18"/>
              </w:rPr>
              <w:t>Workflow Tables</w:t>
            </w:r>
          </w:p>
        </w:tc>
        <w:tc>
          <w:tcPr>
            <w:tcW w:type="dxa" w:w="3552"/>
            <w:vAlign w:val="center"/>
            <w:shd w:fill="334155"/>
          </w:tcPr>
          <w:p>
            <w:r/>
            <w:r>
              <w:rPr>
                <w:b/>
                <w:color w:val="FFFFFF"/>
                <w:sz w:val="18"/>
              </w:rPr>
              <w:t>Security Tables</w:t>
            </w:r>
          </w:p>
        </w:tc>
      </w:tr>
      <w:tr>
        <w:tc>
          <w:tcPr>
            <w:tcW w:type="dxa" w:w="3552"/>
            <w:vAlign w:val="center"/>
          </w:tcPr>
          <w:p>
            <w:r/>
            <w:r>
              <w:rPr>
                <w:b w:val="0"/>
                <w:sz w:val="18"/>
              </w:rPr>
              <w:t>users, employee_profiles, clients, client_contacts, jobs, candidates, deployed_staff</w:t>
            </w:r>
          </w:p>
        </w:tc>
        <w:tc>
          <w:tcPr>
            <w:tcW w:type="dxa" w:w="3552"/>
            <w:vAlign w:val="center"/>
          </w:tcPr>
          <w:p>
            <w:r/>
            <w:r>
              <w:rPr>
                <w:b w:val="0"/>
                <w:sz w:val="18"/>
              </w:rPr>
              <w:t>submissions, interviews, onboarding, attendance, leave_requests, payroll_runs, payslips, claims, invoices, payments, agreements, documents, visa_cases</w:t>
            </w:r>
          </w:p>
        </w:tc>
        <w:tc>
          <w:tcPr>
            <w:tcW w:type="dxa" w:w="3552"/>
            <w:vAlign w:val="center"/>
          </w:tcPr>
          <w:p>
            <w:r/>
            <w:r>
              <w:rPr>
                <w:b w:val="0"/>
                <w:sz w:val="18"/>
              </w:rPr>
              <w:t>roles, permissions, user_role_map, audit_logs, settings, compliance_rules, notification_logs</w:t>
            </w:r>
          </w:p>
        </w:tc>
      </w:tr>
    </w:tbl>
    <w:p>
      <w:pPr>
        <w:pStyle w:val="Heading1"/>
      </w:pPr>
      <w:r>
        <w:t>12. Implementation Rules for VS Code / Copilot</w:t>
      </w:r>
    </w:p>
    <w:p>
      <w:pPr>
        <w:pStyle w:val="ListBullet"/>
      </w:pPr>
      <w:r>
        <w:t>No wipe code. Inspect existing routes, components, APIs and database models before changes.</w:t>
      </w:r>
    </w:p>
    <w:p>
      <w:pPr>
        <w:pStyle w:val="ListBullet"/>
      </w:pPr>
      <w:r>
        <w:t>Do not break current Recruitment module.</w:t>
      </w:r>
    </w:p>
    <w:p>
      <w:pPr>
        <w:pStyle w:val="ListBullet"/>
      </w:pPr>
      <w:r>
        <w:t>Build backend relationships first, then APIs, then UI, then QA.</w:t>
      </w:r>
    </w:p>
    <w:p>
      <w:pPr>
        <w:pStyle w:val="ListBullet"/>
      </w:pPr>
      <w:r>
        <w:t>All APIs must enforce tenant/user/role permissions server-side.</w:t>
      </w:r>
    </w:p>
    <w:p>
      <w:pPr>
        <w:pStyle w:val="ListBullet"/>
      </w:pPr>
      <w:r>
        <w:t>All records must have ID, owner, created_at, updated_at and audit log.</w:t>
      </w:r>
    </w:p>
    <w:p>
      <w:pPr>
        <w:pStyle w:val="ListBullet"/>
      </w:pPr>
      <w:r>
        <w:t>All tables must support search by ID, filters, pagination and export where required.</w:t>
      </w:r>
    </w:p>
    <w:p>
      <w:pPr>
        <w:pStyle w:val="ListBullet"/>
      </w:pPr>
      <w:r>
        <w:t>Payroll and finance sensitive access must never be shown to recruiters.</w:t>
      </w:r>
    </w:p>
    <w:p>
      <w:pPr>
        <w:pStyle w:val="ListBullet"/>
      </w:pPr>
      <w:r>
        <w:t>Use feature flags or incremental routes for new modules.</w:t>
      </w:r>
    </w:p>
    <w:p>
      <w:pPr>
        <w:pStyle w:val="ListBullet"/>
      </w:pPr>
      <w:r>
        <w:t>Run lint, build and test after each phase.</w:t>
      </w:r>
    </w:p>
    <w:p>
      <w:pPr>
        <w:pStyle w:val="ListBullet"/>
      </w:pPr>
      <w:r>
        <w:t>List changed files and completed items after implementation.</w:t>
      </w:r>
    </w:p>
    <w:p>
      <w:pPr>
        <w:pStyle w:val="Heading1"/>
      </w:pPr>
      <w:r>
        <w:t>13. Phase-wise Build Roadmap</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BE123C"/>
          </w:tcPr>
          <w:p>
            <w:r/>
            <w:r>
              <w:rPr>
                <w:b/>
                <w:color w:val="FFFFFF"/>
                <w:sz w:val="18"/>
              </w:rPr>
              <w:t>Phase</w:t>
            </w:r>
          </w:p>
        </w:tc>
        <w:tc>
          <w:tcPr>
            <w:tcW w:type="dxa" w:w="3552"/>
            <w:vAlign w:val="center"/>
            <w:shd w:fill="BE123C"/>
          </w:tcPr>
          <w:p>
            <w:r/>
            <w:r>
              <w:rPr>
                <w:b/>
                <w:color w:val="FFFFFF"/>
                <w:sz w:val="18"/>
              </w:rPr>
              <w:t>Build</w:t>
            </w:r>
          </w:p>
        </w:tc>
        <w:tc>
          <w:tcPr>
            <w:tcW w:type="dxa" w:w="3552"/>
            <w:vAlign w:val="center"/>
            <w:shd w:fill="BE123C"/>
          </w:tcPr>
          <w:p>
            <w:r/>
            <w:r>
              <w:rPr>
                <w:b/>
                <w:color w:val="FFFFFF"/>
                <w:sz w:val="18"/>
              </w:rPr>
              <w:t>Result</w:t>
            </w:r>
          </w:p>
        </w:tc>
      </w:tr>
      <w:tr>
        <w:tc>
          <w:tcPr>
            <w:tcW w:type="dxa" w:w="3552"/>
            <w:vAlign w:val="center"/>
          </w:tcPr>
          <w:p>
            <w:r/>
            <w:r>
              <w:rPr>
                <w:b w:val="0"/>
                <w:sz w:val="18"/>
              </w:rPr>
              <w:t>1</w:t>
            </w:r>
          </w:p>
        </w:tc>
        <w:tc>
          <w:tcPr>
            <w:tcW w:type="dxa" w:w="3552"/>
            <w:vAlign w:val="center"/>
          </w:tcPr>
          <w:p>
            <w:r/>
            <w:r>
              <w:rPr>
                <w:b w:val="0"/>
                <w:sz w:val="18"/>
              </w:rPr>
              <w:t>Fix ID architecture and user-role mapping</w:t>
            </w:r>
          </w:p>
        </w:tc>
        <w:tc>
          <w:tcPr>
            <w:tcW w:type="dxa" w:w="3552"/>
            <w:vAlign w:val="center"/>
          </w:tcPr>
          <w:p>
            <w:r/>
            <w:r>
              <w:rPr>
                <w:b w:val="0"/>
                <w:sz w:val="18"/>
              </w:rPr>
              <w:t>Stable foundation for all modules</w:t>
            </w:r>
          </w:p>
        </w:tc>
      </w:tr>
      <w:tr>
        <w:tc>
          <w:tcPr>
            <w:tcW w:type="dxa" w:w="3552"/>
            <w:vAlign w:val="center"/>
          </w:tcPr>
          <w:p>
            <w:r/>
            <w:r>
              <w:rPr>
                <w:b w:val="0"/>
                <w:sz w:val="18"/>
              </w:rPr>
              <w:t>2</w:t>
            </w:r>
          </w:p>
        </w:tc>
        <w:tc>
          <w:tcPr>
            <w:tcW w:type="dxa" w:w="3552"/>
            <w:vAlign w:val="center"/>
          </w:tcPr>
          <w:p>
            <w:r/>
            <w:r>
              <w:rPr>
                <w:b w:val="0"/>
                <w:sz w:val="18"/>
              </w:rPr>
              <w:t>Sales CRM deep module</w:t>
            </w:r>
          </w:p>
        </w:tc>
        <w:tc>
          <w:tcPr>
            <w:tcW w:type="dxa" w:w="3552"/>
            <w:vAlign w:val="center"/>
          </w:tcPr>
          <w:p>
            <w:r/>
            <w:r>
              <w:rPr>
                <w:b w:val="0"/>
                <w:sz w:val="18"/>
              </w:rPr>
              <w:t>Client/JD/commercial ownership ready</w:t>
            </w:r>
          </w:p>
        </w:tc>
      </w:tr>
      <w:tr>
        <w:tc>
          <w:tcPr>
            <w:tcW w:type="dxa" w:w="3552"/>
            <w:vAlign w:val="center"/>
          </w:tcPr>
          <w:p>
            <w:r/>
            <w:r>
              <w:rPr>
                <w:b w:val="0"/>
                <w:sz w:val="18"/>
              </w:rPr>
              <w:t>3</w:t>
            </w:r>
          </w:p>
        </w:tc>
        <w:tc>
          <w:tcPr>
            <w:tcW w:type="dxa" w:w="3552"/>
            <w:vAlign w:val="center"/>
          </w:tcPr>
          <w:p>
            <w:r/>
            <w:r>
              <w:rPr>
                <w:b w:val="0"/>
                <w:sz w:val="18"/>
              </w:rPr>
              <w:t>Sales to Recruitment connection</w:t>
            </w:r>
          </w:p>
        </w:tc>
        <w:tc>
          <w:tcPr>
            <w:tcW w:type="dxa" w:w="3552"/>
            <w:vAlign w:val="center"/>
          </w:tcPr>
          <w:p>
            <w:r/>
            <w:r>
              <w:rPr>
                <w:b w:val="0"/>
                <w:sz w:val="18"/>
              </w:rPr>
              <w:t>Assigned JDs flow to recruiters safely</w:t>
            </w:r>
          </w:p>
        </w:tc>
      </w:tr>
      <w:tr>
        <w:tc>
          <w:tcPr>
            <w:tcW w:type="dxa" w:w="3552"/>
            <w:vAlign w:val="center"/>
          </w:tcPr>
          <w:p>
            <w:r/>
            <w:r>
              <w:rPr>
                <w:b w:val="0"/>
                <w:sz w:val="18"/>
              </w:rPr>
              <w:t>4</w:t>
            </w:r>
          </w:p>
        </w:tc>
        <w:tc>
          <w:tcPr>
            <w:tcW w:type="dxa" w:w="3552"/>
            <w:vAlign w:val="center"/>
          </w:tcPr>
          <w:p>
            <w:r/>
            <w:r>
              <w:rPr>
                <w:b w:val="0"/>
                <w:sz w:val="18"/>
              </w:rPr>
              <w:t>My Workspace ESS for all internal staff</w:t>
            </w:r>
          </w:p>
        </w:tc>
        <w:tc>
          <w:tcPr>
            <w:tcW w:type="dxa" w:w="3552"/>
            <w:vAlign w:val="center"/>
          </w:tcPr>
          <w:p>
            <w:r/>
            <w:r>
              <w:rPr>
                <w:b w:val="0"/>
                <w:sz w:val="18"/>
              </w:rPr>
              <w:t>Single login employee self-service</w:t>
            </w:r>
          </w:p>
        </w:tc>
      </w:tr>
      <w:tr>
        <w:tc>
          <w:tcPr>
            <w:tcW w:type="dxa" w:w="3552"/>
            <w:vAlign w:val="center"/>
          </w:tcPr>
          <w:p>
            <w:r/>
            <w:r>
              <w:rPr>
                <w:b w:val="0"/>
                <w:sz w:val="18"/>
              </w:rPr>
              <w:t>5</w:t>
            </w:r>
          </w:p>
        </w:tc>
        <w:tc>
          <w:tcPr>
            <w:tcW w:type="dxa" w:w="3552"/>
            <w:vAlign w:val="center"/>
          </w:tcPr>
          <w:p>
            <w:r/>
            <w:r>
              <w:rPr>
                <w:b w:val="0"/>
                <w:sz w:val="18"/>
              </w:rPr>
              <w:t>Leave/holiday/approval queue</w:t>
            </w:r>
          </w:p>
        </w:tc>
        <w:tc>
          <w:tcPr>
            <w:tcW w:type="dxa" w:w="3552"/>
            <w:vAlign w:val="center"/>
          </w:tcPr>
          <w:p>
            <w:r/>
            <w:r>
              <w:rPr>
                <w:b w:val="0"/>
                <w:sz w:val="18"/>
              </w:rPr>
              <w:t>Malaysia state holiday leave system</w:t>
            </w:r>
          </w:p>
        </w:tc>
      </w:tr>
      <w:tr>
        <w:tc>
          <w:tcPr>
            <w:tcW w:type="dxa" w:w="3552"/>
            <w:vAlign w:val="center"/>
          </w:tcPr>
          <w:p>
            <w:r/>
            <w:r>
              <w:rPr>
                <w:b w:val="0"/>
                <w:sz w:val="18"/>
              </w:rPr>
              <w:t>6</w:t>
            </w:r>
          </w:p>
        </w:tc>
        <w:tc>
          <w:tcPr>
            <w:tcW w:type="dxa" w:w="3552"/>
            <w:vAlign w:val="center"/>
          </w:tcPr>
          <w:p>
            <w:r/>
            <w:r>
              <w:rPr>
                <w:b w:val="0"/>
                <w:sz w:val="18"/>
              </w:rPr>
              <w:t>Payroll module</w:t>
            </w:r>
          </w:p>
        </w:tc>
        <w:tc>
          <w:tcPr>
            <w:tcW w:type="dxa" w:w="3552"/>
            <w:vAlign w:val="center"/>
          </w:tcPr>
          <w:p>
            <w:r/>
            <w:r>
              <w:rPr>
                <w:b w:val="0"/>
                <w:sz w:val="18"/>
              </w:rPr>
              <w:t>Controlled payroll run and payslip publishing</w:t>
            </w:r>
          </w:p>
        </w:tc>
      </w:tr>
      <w:tr>
        <w:tc>
          <w:tcPr>
            <w:tcW w:type="dxa" w:w="3552"/>
            <w:vAlign w:val="center"/>
          </w:tcPr>
          <w:p>
            <w:r/>
            <w:r>
              <w:rPr>
                <w:b w:val="0"/>
                <w:sz w:val="18"/>
              </w:rPr>
              <w:t>7</w:t>
            </w:r>
          </w:p>
        </w:tc>
        <w:tc>
          <w:tcPr>
            <w:tcW w:type="dxa" w:w="3552"/>
            <w:vAlign w:val="center"/>
          </w:tcPr>
          <w:p>
            <w:r/>
            <w:r>
              <w:rPr>
                <w:b w:val="0"/>
                <w:sz w:val="18"/>
              </w:rPr>
              <w:t>Finance &amp; invoices</w:t>
            </w:r>
          </w:p>
        </w:tc>
        <w:tc>
          <w:tcPr>
            <w:tcW w:type="dxa" w:w="3552"/>
            <w:vAlign w:val="center"/>
          </w:tcPr>
          <w:p>
            <w:r/>
            <w:r>
              <w:rPr>
                <w:b w:val="0"/>
                <w:sz w:val="18"/>
              </w:rPr>
              <w:t>Client billing and collections</w:t>
            </w:r>
          </w:p>
        </w:tc>
      </w:tr>
      <w:tr>
        <w:tc>
          <w:tcPr>
            <w:tcW w:type="dxa" w:w="3552"/>
            <w:vAlign w:val="center"/>
          </w:tcPr>
          <w:p>
            <w:r/>
            <w:r>
              <w:rPr>
                <w:b w:val="0"/>
                <w:sz w:val="18"/>
              </w:rPr>
              <w:t>8</w:t>
            </w:r>
          </w:p>
        </w:tc>
        <w:tc>
          <w:tcPr>
            <w:tcW w:type="dxa" w:w="3552"/>
            <w:vAlign w:val="center"/>
          </w:tcPr>
          <w:p>
            <w:r/>
            <w:r>
              <w:rPr>
                <w:b w:val="0"/>
                <w:sz w:val="18"/>
              </w:rPr>
              <w:t>Documents and compliance</w:t>
            </w:r>
          </w:p>
        </w:tc>
        <w:tc>
          <w:tcPr>
            <w:tcW w:type="dxa" w:w="3552"/>
            <w:vAlign w:val="center"/>
          </w:tcPr>
          <w:p>
            <w:r/>
            <w:r>
              <w:rPr>
                <w:b w:val="0"/>
                <w:sz w:val="18"/>
              </w:rPr>
              <w:t>Secure document vault and expiring alerts</w:t>
            </w:r>
          </w:p>
        </w:tc>
      </w:tr>
      <w:tr>
        <w:tc>
          <w:tcPr>
            <w:tcW w:type="dxa" w:w="3552"/>
            <w:vAlign w:val="center"/>
          </w:tcPr>
          <w:p>
            <w:r/>
            <w:r>
              <w:rPr>
                <w:b w:val="0"/>
                <w:sz w:val="18"/>
              </w:rPr>
              <w:t>9</w:t>
            </w:r>
          </w:p>
        </w:tc>
        <w:tc>
          <w:tcPr>
            <w:tcW w:type="dxa" w:w="3552"/>
            <w:vAlign w:val="center"/>
          </w:tcPr>
          <w:p>
            <w:r/>
            <w:r>
              <w:rPr>
                <w:b w:val="0"/>
                <w:sz w:val="18"/>
              </w:rPr>
              <w:t>AI layer and analytics</w:t>
            </w:r>
          </w:p>
        </w:tc>
        <w:tc>
          <w:tcPr>
            <w:tcW w:type="dxa" w:w="3552"/>
            <w:vAlign w:val="center"/>
          </w:tcPr>
          <w:p>
            <w:r/>
            <w:r>
              <w:rPr>
                <w:b w:val="0"/>
                <w:sz w:val="18"/>
              </w:rPr>
              <w:t>Smart alerts without unsafe automation</w:t>
            </w:r>
          </w:p>
        </w:tc>
      </w:tr>
      <w:tr>
        <w:tc>
          <w:tcPr>
            <w:tcW w:type="dxa" w:w="3552"/>
            <w:vAlign w:val="center"/>
          </w:tcPr>
          <w:p>
            <w:r/>
            <w:r>
              <w:rPr>
                <w:b w:val="0"/>
                <w:sz w:val="18"/>
              </w:rPr>
              <w:t>10</w:t>
            </w:r>
          </w:p>
        </w:tc>
        <w:tc>
          <w:tcPr>
            <w:tcW w:type="dxa" w:w="3552"/>
            <w:vAlign w:val="center"/>
          </w:tcPr>
          <w:p>
            <w:r/>
            <w:r>
              <w:rPr>
                <w:b w:val="0"/>
                <w:sz w:val="18"/>
              </w:rPr>
              <w:t>QA/security hardening</w:t>
            </w:r>
          </w:p>
        </w:tc>
        <w:tc>
          <w:tcPr>
            <w:tcW w:type="dxa" w:w="3552"/>
            <w:vAlign w:val="center"/>
          </w:tcPr>
          <w:p>
            <w:r/>
            <w:r>
              <w:rPr>
                <w:b w:val="0"/>
                <w:sz w:val="18"/>
              </w:rPr>
              <w:t>Production readiness</w:t>
            </w:r>
          </w:p>
        </w:tc>
      </w:tr>
    </w:tbl>
    <w:p>
      <w:pPr>
        <w:pStyle w:val="Heading1"/>
      </w:pPr>
      <w:r>
        <w:t>14. Master Continuation Prompt</w:t>
      </w:r>
    </w:p>
    <w:p>
      <w:r>
        <w:rPr>
          <w:rFonts w:ascii="Courier New" w:hAnsi="Courier New"/>
          <w:sz w:val="17"/>
        </w:rPr>
        <w:t>Continue enhancing Tekgen AI HRMS as Tekgen AI Workforce OS.</w:t>
        <w:br/>
        <w:t>Do not wipe code. Do not break existing Recruitment module.</w:t>
        <w:br/>
        <w:t>Implement module-by-module with ID-first database relationships.</w:t>
        <w:br/>
        <w:t>Sales owns clients, JDs, agreements and commercials.</w:t>
        <w:br/>
        <w:t>Recruitment works only on assigned JDs and candidate submissions.</w:t>
        <w:br/>
        <w:t>HR Operations manages internal employee ESS, attendance, leave and profiles.</w:t>
        <w:br/>
        <w:t>Payroll is restricted to Payroll users and Main Admin only.</w:t>
        <w:br/>
        <w:t>Finance &amp; Invoices is restricted to Finance users, Main Admin and limited Sales visibility for collection follow-ups.</w:t>
        <w:br/>
        <w:t>Use Employee ID, Candidate ID, Client ID, JD ID, Submission ID, Deployed Staff ID, Payroll Run ID, Payslip ID, Invoice ID, Agreement ID and Document ID everywhere.</w:t>
        <w:br/>
        <w:t>Add Malaysia state-wise holidays, configurable leave types, leave balances and queued approval workflow.</w:t>
        <w:br/>
        <w:t>Add Malaysia local/expat/overseas expat workforce classification with configurable tax/compliance rules.</w:t>
        <w:br/>
        <w:t>Add AI assistance for suggestions, parsing, reminders and anomaly alerts only. AI must not auto-approve leave, payroll, invoices, candidates or documents.</w:t>
        <w:br/>
        <w:t>Build backend models first, then APIs, then UI, then QA tests. List changed files and completed items.</w:t>
      </w:r>
    </w:p>
    <w:p>
      <w:pPr>
        <w:jc w:val="center"/>
      </w:pPr>
      <w:r>
        <w:rPr>
          <w:i/>
          <w:color w:val="64748B"/>
          <w:sz w:val="16"/>
        </w:rPr>
        <w:t>End of document - Tekgen AI Workforce OS Deep Architecture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