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color w:val="1A56DB"/>
          <w:sz w:val="32"/>
        </w:rPr>
        <w:t>BLOG MIGRATION PLAN</w:t>
      </w:r>
    </w:p>
    <w:p>
      <w:pPr>
        <w:spacing w:before="0" w:after="200"/>
        <w:jc w:val="center"/>
      </w:pPr>
      <w:r>
        <w:rPr>
          <w:b/>
          <w:color w:val="141413"/>
          <w:sz w:val="23"/>
        </w:rPr>
        <w:t>SocialPilot Blog Restructure — /blog → /insights, /strategy, /compare</w:t>
      </w:r>
    </w:p>
    <w:p>
      <w:pPr>
        <w:spacing w:before="0" w:after="240"/>
        <w:jc w:val="center"/>
      </w:pPr>
      <w:r>
        <w:rPr>
          <w:i/>
          <w:color w:val="3D3D3A"/>
          <w:sz w:val="18"/>
        </w:rPr>
        <w:t>Based on: Blog URL Mapping (Final) — Complete Blogs List + URL Mapping tabs</w:t>
      </w:r>
    </w:p>
    <w:tbl>
      <w:tblPr>
        <w:tblStyle w:val="TableGrid"/>
        <w:tblW w:type="auto" w:w="0"/>
        <w:tblLook w:firstColumn="1" w:firstRow="1" w:lastColumn="0" w:lastRow="0" w:noHBand="0" w:noVBand="1" w:val="04A0"/>
      </w:tblPr>
      <w:tblGrid>
        <w:gridCol w:w="9936"/>
      </w:tblGrid>
      <w:tr>
        <w:tc>
          <w:tcPr>
            <w:tcW w:type="dxa" w:w="9936"/>
            <w:shd w:val="clear" w:color="auto" w:fill="1A56DB"/>
          </w:tcPr>
          <w:p>
            <w:pPr>
              <w:spacing w:before="80" w:after="80"/>
              <w:jc w:val="left"/>
            </w:pPr>
            <w:r>
              <w:rPr>
                <w:b/>
                <w:color w:val="FFFFFF"/>
                <w:sz w:val="22"/>
              </w:rPr>
              <w:t>TL;DR</w:t>
            </w:r>
          </w:p>
        </w:tc>
      </w:tr>
    </w:tbl>
    <w:p>
      <w:pPr>
        <w:spacing w:before="40" w:after="40"/>
        <w:jc w:val="left"/>
      </w:pPr>
    </w:p>
    <w:p>
      <w:pPr>
        <w:pStyle w:val="ListBullet"/>
        <w:spacing w:before="20" w:after="20"/>
      </w:pPr>
      <w:r>
        <w:rPr>
          <w:b/>
          <w:i w:val="0"/>
          <w:color w:val="141413"/>
          <w:sz w:val="19"/>
        </w:rPr>
        <w:t xml:space="preserve">Full audit: </w:t>
      </w:r>
      <w:r>
        <w:rPr>
          <w:b w:val="0"/>
          <w:i w:val="0"/>
          <w:color w:val="141413"/>
          <w:sz w:val="19"/>
        </w:rPr>
        <w:t>529 legacy /blog URLs were audited. 231 articles are being retained, 298 are being removed / pruned.</w:t>
      </w:r>
    </w:p>
    <w:p>
      <w:pPr>
        <w:pStyle w:val="ListBullet"/>
        <w:spacing w:before="20" w:after="20"/>
      </w:pPr>
      <w:r>
        <w:rPr>
          <w:b/>
          <w:i w:val="0"/>
          <w:color w:val="141413"/>
          <w:sz w:val="19"/>
        </w:rPr>
        <w:t xml:space="preserve">New IA: </w:t>
      </w:r>
      <w:r>
        <w:rPr>
          <w:b w:val="0"/>
          <w:i w:val="0"/>
          <w:color w:val="141413"/>
          <w:sz w:val="19"/>
        </w:rPr>
        <w:t>Retained content moves into three new top-level sections — /insights, /strategy, /compare — plus a smaller /blog for the handful of posts that don’t fit those buckets.</w:t>
      </w:r>
    </w:p>
    <w:p>
      <w:pPr>
        <w:pStyle w:val="ListBullet"/>
        <w:spacing w:before="20" w:after="20"/>
      </w:pPr>
      <w:r>
        <w:rPr>
          <w:b/>
          <w:i w:val="0"/>
          <w:color w:val="141413"/>
          <w:sz w:val="19"/>
        </w:rPr>
        <w:t xml:space="preserve">Redirects: </w:t>
      </w:r>
      <w:r>
        <w:rPr>
          <w:b w:val="0"/>
          <w:i w:val="0"/>
          <w:color w:val="141413"/>
          <w:sz w:val="19"/>
        </w:rPr>
        <w:t>223 articles have a clean, verified, 1-to-1 old → new URL redirect ready to hand to dev. 8 more (blog homepage, top tag pages, 1 glossary post) keep their current URL — no redirect needed.</w:t>
      </w:r>
    </w:p>
    <w:p>
      <w:pPr>
        <w:pStyle w:val="ListBullet"/>
        <w:spacing w:before="20" w:after="20"/>
      </w:pPr>
      <w:r>
        <w:rPr>
          <w:b/>
          <w:i w:val="0"/>
          <w:color w:val="141413"/>
          <w:sz w:val="19"/>
        </w:rPr>
        <w:t xml:space="preserve">Risk: </w:t>
      </w:r>
      <w:r>
        <w:rPr>
          <w:b w:val="0"/>
          <w:i w:val="0"/>
          <w:color w:val="141413"/>
          <w:sz w:val="19"/>
        </w:rPr>
        <w:t>The 298 removed URLs carry only ~8.7K sessions/12mo combined, vs. 277.8K for retained content — a ~3% share. Most are either already-dead legacy aliases or thin, low-traffic posts.</w:t>
      </w:r>
    </w:p>
    <w:p>
      <w:pPr>
        <w:pStyle w:val="ListBullet"/>
        <w:spacing w:before="20" w:after="20"/>
      </w:pPr>
      <w:r>
        <w:rPr>
          <w:b/>
          <w:i w:val="0"/>
          <w:color w:val="141413"/>
          <w:sz w:val="19"/>
        </w:rPr>
        <w:t xml:space="preserve">Redirect research done: </w:t>
      </w:r>
      <w:r>
        <w:rPr>
          <w:b w:val="0"/>
          <w:i w:val="0"/>
          <w:color w:val="141413"/>
          <w:sz w:val="19"/>
        </w:rPr>
        <w:t>All 222 removed URLs that lacked a defined disposition now have one: 131 get a redirect to a genuinely relevant, verified-live page elsewhere on socialpilot.co; 91 are confirmed 410s with no suitable equivalent. See Section 4 and the appendix workbook.</w:t>
      </w:r>
    </w:p>
    <w:p>
      <w:pPr>
        <w:pStyle w:val="ListBullet"/>
        <w:spacing w:before="20" w:after="20"/>
      </w:pPr>
      <w:r>
        <w:rPr>
          <w:b/>
          <w:i w:val="0"/>
          <w:color w:val="141413"/>
          <w:sz w:val="19"/>
        </w:rPr>
        <w:t xml:space="preserve">Open item: </w:t>
      </w:r>
      <w:r>
        <w:rPr>
          <w:b w:val="0"/>
          <w:i w:val="0"/>
          <w:color w:val="141413"/>
          <w:sz w:val="19"/>
        </w:rPr>
        <w:t>1,814 internal links currently point at pages being removed and need repointing regardless of the redirect/410 call — see Section 5.</w:t>
      </w:r>
    </w:p>
    <w:tbl>
      <w:tblPr>
        <w:tblStyle w:val="TableGrid"/>
        <w:tblW w:type="auto" w:w="0"/>
        <w:tblLook w:firstColumn="1" w:firstRow="1" w:lastColumn="0" w:lastRow="0" w:noHBand="0" w:noVBand="1" w:val="04A0"/>
      </w:tblPr>
      <w:tblGrid>
        <w:gridCol w:w="9936"/>
      </w:tblGrid>
      <w:tr>
        <w:tc>
          <w:tcPr>
            <w:tcW w:type="dxa" w:w="9936"/>
            <w:shd w:val="clear" w:color="auto" w:fill="1A56DB"/>
          </w:tcPr>
          <w:p>
            <w:pPr>
              <w:spacing w:before="80" w:after="80"/>
              <w:jc w:val="left"/>
            </w:pPr>
            <w:r>
              <w:rPr>
                <w:b/>
                <w:color w:val="FFFFFF"/>
                <w:sz w:val="22"/>
              </w:rPr>
              <w:t>1. THE NEW STRUCTURE</w:t>
            </w:r>
          </w:p>
        </w:tc>
      </w:tr>
    </w:tbl>
    <w:p>
      <w:pPr>
        <w:spacing w:before="40" w:after="40"/>
        <w:jc w:val="left"/>
      </w:pPr>
    </w:p>
    <w:p>
      <w:pPr>
        <w:spacing w:before="80" w:after="120"/>
        <w:jc w:val="left"/>
      </w:pPr>
      <w:r>
        <w:rPr>
          <w:b w:val="0"/>
          <w:i w:val="0"/>
          <w:color w:val="141413"/>
          <w:sz w:val="19"/>
        </w:rPr>
        <w:t>Everything being retained lands in one of four buckets:</w:t>
      </w:r>
    </w:p>
    <w:tbl>
      <w:tblPr>
        <w:tblStyle w:val="TableGrid"/>
        <w:tblW w:type="auto" w:w="0"/>
        <w:tblLook w:firstColumn="1" w:firstRow="1" w:lastColumn="0" w:lastRow="0" w:noHBand="0" w:noVBand="1" w:val="04A0"/>
      </w:tblPr>
      <w:tblGrid>
        <w:gridCol w:w="2484"/>
        <w:gridCol w:w="2484"/>
        <w:gridCol w:w="2484"/>
        <w:gridCol w:w="2484"/>
      </w:tblGrid>
      <w:tr>
        <w:tc>
          <w:tcPr>
            <w:tcW w:type="dxa" w:w="2448"/>
            <w:shd w:val="clear" w:color="auto" w:fill="1A56DB"/>
          </w:tcPr>
          <w:p>
            <w:pPr>
              <w:spacing w:before="40" w:after="40"/>
              <w:jc w:val="left"/>
            </w:pPr>
            <w:r>
              <w:rPr>
                <w:b/>
                <w:i w:val="0"/>
                <w:color w:val="FFFFFF"/>
                <w:sz w:val="18"/>
              </w:rPr>
              <w:t>New Section</w:t>
            </w:r>
          </w:p>
        </w:tc>
        <w:tc>
          <w:tcPr>
            <w:tcW w:type="dxa" w:w="2016"/>
            <w:shd w:val="clear" w:color="auto" w:fill="1A56DB"/>
          </w:tcPr>
          <w:p>
            <w:pPr>
              <w:spacing w:before="40" w:after="40"/>
              <w:jc w:val="left"/>
            </w:pPr>
            <w:r>
              <w:rPr>
                <w:b/>
                <w:i w:val="0"/>
                <w:color w:val="FFFFFF"/>
                <w:sz w:val="18"/>
              </w:rPr>
              <w:t>Path</w:t>
            </w:r>
          </w:p>
        </w:tc>
        <w:tc>
          <w:tcPr>
            <w:tcW w:type="dxa" w:w="1584"/>
            <w:shd w:val="clear" w:color="auto" w:fill="1A56DB"/>
          </w:tcPr>
          <w:p>
            <w:pPr>
              <w:spacing w:before="40" w:after="40"/>
              <w:jc w:val="left"/>
            </w:pPr>
            <w:r>
              <w:rPr>
                <w:b/>
                <w:i w:val="0"/>
                <w:color w:val="FFFFFF"/>
                <w:sz w:val="18"/>
              </w:rPr>
              <w:t>Articles</w:t>
            </w:r>
          </w:p>
        </w:tc>
        <w:tc>
          <w:tcPr>
            <w:tcW w:type="dxa" w:w="2477"/>
            <w:shd w:val="clear" w:color="auto" w:fill="1A56DB"/>
          </w:tcPr>
          <w:p>
            <w:pPr>
              <w:spacing w:before="40" w:after="40"/>
              <w:jc w:val="left"/>
            </w:pPr>
            <w:r>
              <w:rPr>
                <w:b/>
                <w:i w:val="0"/>
                <w:color w:val="FFFFFF"/>
                <w:sz w:val="18"/>
              </w:rPr>
              <w:t>Sessions (12mo)</w:t>
            </w:r>
          </w:p>
        </w:tc>
      </w:tr>
      <w:tr>
        <w:tc>
          <w:tcPr>
            <w:tcW w:type="dxa" w:w="2448"/>
            <w:shd w:val="clear" w:color="auto" w:fill="FFFFFF"/>
          </w:tcPr>
          <w:p>
            <w:pPr>
              <w:spacing w:before="40" w:after="40"/>
              <w:jc w:val="left"/>
            </w:pPr>
            <w:r>
              <w:rPr>
                <w:b w:val="0"/>
                <w:i w:val="0"/>
                <w:color w:val="141413"/>
                <w:sz w:val="17"/>
              </w:rPr>
              <w:t>Insights</w:t>
            </w:r>
          </w:p>
        </w:tc>
        <w:tc>
          <w:tcPr>
            <w:tcW w:type="dxa" w:w="2016"/>
            <w:shd w:val="clear" w:color="auto" w:fill="FFFFFF"/>
          </w:tcPr>
          <w:p>
            <w:pPr>
              <w:spacing w:before="40" w:after="40"/>
              <w:jc w:val="left"/>
            </w:pPr>
            <w:r>
              <w:rPr>
                <w:b w:val="0"/>
                <w:i w:val="0"/>
                <w:color w:val="141413"/>
                <w:sz w:val="17"/>
              </w:rPr>
              <w:t>/insights/*</w:t>
            </w:r>
          </w:p>
        </w:tc>
        <w:tc>
          <w:tcPr>
            <w:tcW w:type="dxa" w:w="1584"/>
            <w:shd w:val="clear" w:color="auto" w:fill="FFFFFF"/>
          </w:tcPr>
          <w:p>
            <w:pPr>
              <w:spacing w:before="40" w:after="40"/>
              <w:jc w:val="left"/>
            </w:pPr>
            <w:r>
              <w:rPr>
                <w:b w:val="0"/>
                <w:i w:val="0"/>
                <w:color w:val="141413"/>
                <w:sz w:val="17"/>
              </w:rPr>
              <w:t>61</w:t>
            </w:r>
          </w:p>
        </w:tc>
        <w:tc>
          <w:tcPr>
            <w:tcW w:type="dxa" w:w="2477"/>
            <w:shd w:val="clear" w:color="auto" w:fill="FFFFFF"/>
          </w:tcPr>
          <w:p>
            <w:pPr>
              <w:spacing w:before="40" w:after="40"/>
              <w:jc w:val="left"/>
            </w:pPr>
            <w:r>
              <w:rPr>
                <w:b w:val="0"/>
                <w:i w:val="0"/>
                <w:color w:val="141413"/>
                <w:sz w:val="17"/>
              </w:rPr>
              <w:t>124,865</w:t>
            </w:r>
          </w:p>
        </w:tc>
      </w:tr>
      <w:tr>
        <w:tc>
          <w:tcPr>
            <w:tcW w:type="dxa" w:w="2448"/>
            <w:shd w:val="clear" w:color="auto" w:fill="FAFAFA"/>
          </w:tcPr>
          <w:p>
            <w:pPr>
              <w:spacing w:before="40" w:after="40"/>
              <w:jc w:val="left"/>
            </w:pPr>
            <w:r>
              <w:rPr>
                <w:b w:val="0"/>
                <w:i w:val="0"/>
                <w:color w:val="141413"/>
                <w:sz w:val="17"/>
              </w:rPr>
              <w:t>Strategy</w:t>
            </w:r>
          </w:p>
        </w:tc>
        <w:tc>
          <w:tcPr>
            <w:tcW w:type="dxa" w:w="2016"/>
            <w:shd w:val="clear" w:color="auto" w:fill="FAFAFA"/>
          </w:tcPr>
          <w:p>
            <w:pPr>
              <w:spacing w:before="40" w:after="40"/>
              <w:jc w:val="left"/>
            </w:pPr>
            <w:r>
              <w:rPr>
                <w:b w:val="0"/>
                <w:i w:val="0"/>
                <w:color w:val="141413"/>
                <w:sz w:val="17"/>
              </w:rPr>
              <w:t>/strategy/*</w:t>
            </w:r>
          </w:p>
        </w:tc>
        <w:tc>
          <w:tcPr>
            <w:tcW w:type="dxa" w:w="1584"/>
            <w:shd w:val="clear" w:color="auto" w:fill="FAFAFA"/>
          </w:tcPr>
          <w:p>
            <w:pPr>
              <w:spacing w:before="40" w:after="40"/>
              <w:jc w:val="left"/>
            </w:pPr>
            <w:r>
              <w:rPr>
                <w:b w:val="0"/>
                <w:i w:val="0"/>
                <w:color w:val="141413"/>
                <w:sz w:val="17"/>
              </w:rPr>
              <w:t>121</w:t>
            </w:r>
          </w:p>
        </w:tc>
        <w:tc>
          <w:tcPr>
            <w:tcW w:type="dxa" w:w="2477"/>
            <w:shd w:val="clear" w:color="auto" w:fill="FAFAFA"/>
          </w:tcPr>
          <w:p>
            <w:pPr>
              <w:spacing w:before="40" w:after="40"/>
              <w:jc w:val="left"/>
            </w:pPr>
            <w:r>
              <w:rPr>
                <w:b w:val="0"/>
                <w:i w:val="0"/>
                <w:color w:val="141413"/>
                <w:sz w:val="17"/>
              </w:rPr>
              <w:t>130,887</w:t>
            </w:r>
          </w:p>
        </w:tc>
      </w:tr>
      <w:tr>
        <w:tc>
          <w:tcPr>
            <w:tcW w:type="dxa" w:w="2448"/>
            <w:shd w:val="clear" w:color="auto" w:fill="FFFFFF"/>
          </w:tcPr>
          <w:p>
            <w:pPr>
              <w:spacing w:before="40" w:after="40"/>
              <w:jc w:val="left"/>
            </w:pPr>
            <w:r>
              <w:rPr>
                <w:b w:val="0"/>
                <w:i w:val="0"/>
                <w:color w:val="141413"/>
                <w:sz w:val="17"/>
              </w:rPr>
              <w:t>Compare</w:t>
            </w:r>
          </w:p>
        </w:tc>
        <w:tc>
          <w:tcPr>
            <w:tcW w:type="dxa" w:w="2016"/>
            <w:shd w:val="clear" w:color="auto" w:fill="FFFFFF"/>
          </w:tcPr>
          <w:p>
            <w:pPr>
              <w:spacing w:before="40" w:after="40"/>
              <w:jc w:val="left"/>
            </w:pPr>
            <w:r>
              <w:rPr>
                <w:b w:val="0"/>
                <w:i w:val="0"/>
                <w:color w:val="141413"/>
                <w:sz w:val="17"/>
              </w:rPr>
              <w:t>/compare/*</w:t>
            </w:r>
          </w:p>
        </w:tc>
        <w:tc>
          <w:tcPr>
            <w:tcW w:type="dxa" w:w="1584"/>
            <w:shd w:val="clear" w:color="auto" w:fill="FFFFFF"/>
          </w:tcPr>
          <w:p>
            <w:pPr>
              <w:spacing w:before="40" w:after="40"/>
              <w:jc w:val="left"/>
            </w:pPr>
            <w:r>
              <w:rPr>
                <w:b w:val="0"/>
                <w:i w:val="0"/>
                <w:color w:val="141413"/>
                <w:sz w:val="17"/>
              </w:rPr>
              <w:t>5</w:t>
            </w:r>
          </w:p>
        </w:tc>
        <w:tc>
          <w:tcPr>
            <w:tcW w:type="dxa" w:w="2477"/>
            <w:shd w:val="clear" w:color="auto" w:fill="FFFFFF"/>
          </w:tcPr>
          <w:p>
            <w:pPr>
              <w:spacing w:before="40" w:after="40"/>
              <w:jc w:val="left"/>
            </w:pPr>
            <w:r>
              <w:rPr>
                <w:b w:val="0"/>
                <w:i w:val="0"/>
                <w:color w:val="141413"/>
                <w:sz w:val="17"/>
              </w:rPr>
              <w:t>1,401</w:t>
            </w:r>
          </w:p>
        </w:tc>
      </w:tr>
      <w:tr>
        <w:tc>
          <w:tcPr>
            <w:tcW w:type="dxa" w:w="2448"/>
            <w:shd w:val="clear" w:color="auto" w:fill="FAFAFA"/>
          </w:tcPr>
          <w:p>
            <w:pPr>
              <w:spacing w:before="40" w:after="40"/>
              <w:jc w:val="left"/>
            </w:pPr>
            <w:r>
              <w:rPr>
                <w:b w:val="0"/>
                <w:i w:val="0"/>
                <w:color w:val="141413"/>
                <w:sz w:val="17"/>
              </w:rPr>
              <w:t>Stays in /blog</w:t>
            </w:r>
          </w:p>
        </w:tc>
        <w:tc>
          <w:tcPr>
            <w:tcW w:type="dxa" w:w="2016"/>
            <w:shd w:val="clear" w:color="auto" w:fill="FAFAFA"/>
          </w:tcPr>
          <w:p>
            <w:pPr>
              <w:spacing w:before="40" w:after="40"/>
              <w:jc w:val="left"/>
            </w:pPr>
            <w:r>
              <w:rPr>
                <w:b w:val="0"/>
                <w:i w:val="0"/>
                <w:color w:val="141413"/>
                <w:sz w:val="17"/>
              </w:rPr>
              <w:t>/blog/*</w:t>
            </w:r>
          </w:p>
        </w:tc>
        <w:tc>
          <w:tcPr>
            <w:tcW w:type="dxa" w:w="1584"/>
            <w:shd w:val="clear" w:color="auto" w:fill="FAFAFA"/>
          </w:tcPr>
          <w:p>
            <w:pPr>
              <w:spacing w:before="40" w:after="40"/>
              <w:jc w:val="left"/>
            </w:pPr>
            <w:r>
              <w:rPr>
                <w:b w:val="0"/>
                <w:i w:val="0"/>
                <w:color w:val="141413"/>
                <w:sz w:val="17"/>
              </w:rPr>
              <w:t>36</w:t>
            </w:r>
          </w:p>
        </w:tc>
        <w:tc>
          <w:tcPr>
            <w:tcW w:type="dxa" w:w="2477"/>
            <w:shd w:val="clear" w:color="auto" w:fill="FAFAFA"/>
          </w:tcPr>
          <w:p>
            <w:pPr>
              <w:spacing w:before="40" w:after="40"/>
              <w:jc w:val="left"/>
            </w:pPr>
            <w:r>
              <w:rPr>
                <w:b w:val="0"/>
                <w:i w:val="0"/>
                <w:color w:val="141413"/>
                <w:sz w:val="17"/>
              </w:rPr>
              <w:t>20,606</w:t>
            </w:r>
          </w:p>
        </w:tc>
      </w:tr>
      <w:tr>
        <w:tc>
          <w:tcPr>
            <w:tcW w:type="dxa" w:w="2448"/>
            <w:shd w:val="clear" w:color="auto" w:fill="E5E9F5"/>
          </w:tcPr>
          <w:p>
            <w:pPr>
              <w:spacing w:before="40" w:after="40"/>
              <w:jc w:val="left"/>
            </w:pPr>
            <w:r>
              <w:rPr>
                <w:b/>
                <w:i w:val="0"/>
                <w:color w:val="141413"/>
                <w:sz w:val="17"/>
              </w:rPr>
              <w:t>Total retained</w:t>
            </w:r>
          </w:p>
        </w:tc>
        <w:tc>
          <w:tcPr>
            <w:tcW w:type="dxa" w:w="2016"/>
            <w:shd w:val="clear" w:color="auto" w:fill="E5E9F5"/>
          </w:tcPr>
          <w:p>
            <w:pPr>
              <w:spacing w:before="40" w:after="40"/>
              <w:jc w:val="left"/>
            </w:pPr>
            <w:r>
              <w:rPr>
                <w:b/>
                <w:i w:val="0"/>
                <w:color w:val="141413"/>
                <w:sz w:val="17"/>
              </w:rPr>
              <w:t>—</w:t>
            </w:r>
          </w:p>
        </w:tc>
        <w:tc>
          <w:tcPr>
            <w:tcW w:type="dxa" w:w="1584"/>
            <w:shd w:val="clear" w:color="auto" w:fill="E5E9F5"/>
          </w:tcPr>
          <w:p>
            <w:pPr>
              <w:spacing w:before="40" w:after="40"/>
              <w:jc w:val="left"/>
            </w:pPr>
            <w:r>
              <w:rPr>
                <w:b/>
                <w:i w:val="0"/>
                <w:color w:val="141413"/>
                <w:sz w:val="17"/>
              </w:rPr>
              <w:t>223</w:t>
            </w:r>
          </w:p>
        </w:tc>
        <w:tc>
          <w:tcPr>
            <w:tcW w:type="dxa" w:w="2477"/>
            <w:shd w:val="clear" w:color="auto" w:fill="E5E9F5"/>
          </w:tcPr>
          <w:p>
            <w:pPr>
              <w:spacing w:before="40" w:after="40"/>
              <w:jc w:val="left"/>
            </w:pPr>
            <w:r>
              <w:rPr>
                <w:b/>
                <w:i w:val="0"/>
                <w:color w:val="141413"/>
                <w:sz w:val="17"/>
              </w:rPr>
              <w:t>277,759</w:t>
            </w:r>
          </w:p>
        </w:tc>
      </w:tr>
    </w:tbl>
    <w:p>
      <w:pPr>
        <w:spacing w:before="120" w:after="80"/>
        <w:jc w:val="left"/>
      </w:pPr>
      <w:r>
        <w:rPr>
          <w:b w:val="0"/>
          <w:i w:val="0"/>
          <w:color w:val="141413"/>
          <w:sz w:val="17"/>
        </w:rPr>
        <w:t>Insights = trend/news commentary ("what’s happening"). Strategy = how-to / execution content (including a 13-post Brand &amp; Audience Strategy sub-cluster). Compare = the 5 competitor-pricing pages. /blog retains generic commentary that doesn’t fit the other three.</w:t>
      </w:r>
    </w:p>
    <w:p>
      <w:pPr>
        <w:spacing w:before="40" w:after="80"/>
        <w:jc w:val="left"/>
      </w:pPr>
      <w:r>
        <w:rPr>
          <w:b w:val="0"/>
          <w:i/>
          <w:color w:val="141413"/>
          <w:sz w:val="17"/>
        </w:rPr>
        <w:t>Note: these are the only 4 destinations in this migration — there is no new "/industry" section. Section 4 sends a small number of REMOVED articles (3 of 298) to /industry/* pages that already exist on the site today, unrelated to this restructure, because they happen to be the closest live equivalent for that specific vertical topic.</w:t>
      </w:r>
    </w:p>
    <w:tbl>
      <w:tblPr>
        <w:tblStyle w:val="TableGrid"/>
        <w:tblW w:type="auto" w:w="0"/>
        <w:tblLook w:firstColumn="1" w:firstRow="1" w:lastColumn="0" w:lastRow="0" w:noHBand="0" w:noVBand="1" w:val="04A0"/>
      </w:tblPr>
      <w:tblGrid>
        <w:gridCol w:w="9936"/>
      </w:tblGrid>
      <w:tr>
        <w:tc>
          <w:tcPr>
            <w:tcW w:type="dxa" w:w="9936"/>
            <w:shd w:val="clear" w:color="auto" w:fill="1A56DB"/>
          </w:tcPr>
          <w:p>
            <w:pPr>
              <w:spacing w:before="80" w:after="80"/>
              <w:jc w:val="left"/>
            </w:pPr>
            <w:r>
              <w:rPr>
                <w:b/>
                <w:color w:val="FFFFFF"/>
                <w:sz w:val="22"/>
              </w:rPr>
              <w:t>2. WHAT’S MOVING (REDIRECTS)</w:t>
            </w:r>
          </w:p>
        </w:tc>
      </w:tr>
    </w:tbl>
    <w:p>
      <w:pPr>
        <w:spacing w:before="40" w:after="40"/>
        <w:jc w:val="left"/>
      </w:pPr>
    </w:p>
    <w:p>
      <w:pPr>
        <w:pStyle w:val="ListBullet"/>
        <w:spacing w:before="20" w:after="20"/>
      </w:pPr>
      <w:r>
        <w:rPr>
          <w:b/>
          <w:i w:val="0"/>
          <w:color w:val="141413"/>
          <w:sz w:val="19"/>
        </w:rPr>
        <w:t xml:space="preserve">Ready to implement: </w:t>
      </w:r>
      <w:r>
        <w:rPr>
          <w:b w:val="0"/>
          <w:i w:val="0"/>
          <w:color w:val="141413"/>
          <w:sz w:val="19"/>
        </w:rPr>
        <w:t>The URL Mapping tab has a full, verified old → new mapping for all 223 articles: no duplicate destinations, no duplicate sources, one hop each.</w:t>
      </w:r>
    </w:p>
    <w:p>
      <w:pPr>
        <w:pStyle w:val="ListBullet"/>
        <w:spacing w:before="20" w:after="20"/>
      </w:pPr>
      <w:r>
        <w:rPr>
          <w:b/>
          <w:i w:val="0"/>
          <w:color w:val="141413"/>
          <w:sz w:val="19"/>
        </w:rPr>
        <w:t xml:space="preserve">No change needed: </w:t>
      </w:r>
      <w:r>
        <w:rPr>
          <w:b w:val="0"/>
          <w:i w:val="0"/>
          <w:color w:val="141413"/>
          <w:sz w:val="19"/>
        </w:rPr>
        <w:t>8 retained URLs need no redirect — the /blog homepage, 5 top-level tag pages (instagram, tiktok, twitter, how-tos, social-media-marketing, social-media-engagement), and 1 glossary post stay exactly where they are.</w:t>
      </w:r>
    </w:p>
    <w:p>
      <w:pPr>
        <w:pStyle w:val="ListBullet"/>
        <w:spacing w:before="20" w:after="20"/>
      </w:pPr>
      <w:r>
        <w:rPr>
          <w:b/>
          <w:i w:val="0"/>
          <w:color w:val="141413"/>
          <w:sz w:val="19"/>
        </w:rPr>
        <w:t xml:space="preserve">Action: </w:t>
      </w:r>
      <w:r>
        <w:rPr>
          <w:b w:val="0"/>
          <w:i w:val="0"/>
          <w:color w:val="141413"/>
          <w:sz w:val="19"/>
        </w:rPr>
        <w:t>Hand the URL Mapping tab directly to dev/SEO as the 301 redirect map — Current URL → New URL, one row per rule.</w:t>
      </w:r>
    </w:p>
    <w:tbl>
      <w:tblPr>
        <w:tblStyle w:val="TableGrid"/>
        <w:tblW w:type="auto" w:w="0"/>
        <w:tblLook w:firstColumn="1" w:firstRow="1" w:lastColumn="0" w:lastRow="0" w:noHBand="0" w:noVBand="1" w:val="04A0"/>
      </w:tblPr>
      <w:tblGrid>
        <w:gridCol w:w="9936"/>
      </w:tblGrid>
      <w:tr>
        <w:tc>
          <w:tcPr>
            <w:tcW w:type="dxa" w:w="9936"/>
            <w:shd w:val="clear" w:color="auto" w:fill="1A56DB"/>
          </w:tcPr>
          <w:p>
            <w:pPr>
              <w:spacing w:before="80" w:after="80"/>
              <w:jc w:val="left"/>
            </w:pPr>
            <w:r>
              <w:rPr>
                <w:b/>
                <w:color w:val="FFFFFF"/>
                <w:sz w:val="22"/>
              </w:rPr>
              <w:t>3. WHAT’S BEING REMOVED</w:t>
            </w:r>
          </w:p>
        </w:tc>
      </w:tr>
    </w:tbl>
    <w:p>
      <w:pPr>
        <w:spacing w:before="40" w:after="40"/>
        <w:jc w:val="left"/>
      </w:pPr>
    </w:p>
    <w:p>
      <w:pPr>
        <w:spacing w:before="80" w:after="120"/>
        <w:jc w:val="left"/>
      </w:pPr>
      <w:r>
        <w:rPr>
          <w:b w:val="0"/>
          <w:i w:val="0"/>
          <w:color w:val="141413"/>
          <w:sz w:val="19"/>
        </w:rPr>
        <w:t>298 legacy URLs are being retired. Breaking that down by what they actually are today:</w:t>
      </w:r>
    </w:p>
    <w:tbl>
      <w:tblPr>
        <w:tblStyle w:val="TableGrid"/>
        <w:tblW w:type="auto" w:w="0"/>
        <w:tblLook w:firstColumn="1" w:firstRow="1" w:lastColumn="0" w:lastRow="0" w:noHBand="0" w:noVBand="1" w:val="04A0"/>
      </w:tblPr>
      <w:tblGrid>
        <w:gridCol w:w="2484"/>
        <w:gridCol w:w="2484"/>
        <w:gridCol w:w="2484"/>
        <w:gridCol w:w="2484"/>
      </w:tblGrid>
      <w:tr>
        <w:tc>
          <w:tcPr>
            <w:tcW w:type="dxa" w:w="2880"/>
            <w:shd w:val="clear" w:color="auto" w:fill="1A56DB"/>
          </w:tcPr>
          <w:p>
            <w:pPr>
              <w:spacing w:before="40" w:after="40"/>
              <w:jc w:val="left"/>
            </w:pPr>
            <w:r>
              <w:rPr>
                <w:b/>
                <w:i w:val="0"/>
                <w:color w:val="FFFFFF"/>
                <w:sz w:val="18"/>
              </w:rPr>
              <w:t>Group</w:t>
            </w:r>
          </w:p>
        </w:tc>
        <w:tc>
          <w:tcPr>
            <w:tcW w:type="dxa" w:w="864"/>
            <w:shd w:val="clear" w:color="auto" w:fill="1A56DB"/>
          </w:tcPr>
          <w:p>
            <w:pPr>
              <w:spacing w:before="40" w:after="40"/>
              <w:jc w:val="left"/>
            </w:pPr>
            <w:r>
              <w:rPr>
                <w:b/>
                <w:i w:val="0"/>
                <w:color w:val="FFFFFF"/>
                <w:sz w:val="18"/>
              </w:rPr>
              <w:t>Count</w:t>
            </w:r>
          </w:p>
        </w:tc>
        <w:tc>
          <w:tcPr>
            <w:tcW w:type="dxa" w:w="3024"/>
            <w:shd w:val="clear" w:color="auto" w:fill="1A56DB"/>
          </w:tcPr>
          <w:p>
            <w:pPr>
              <w:spacing w:before="40" w:after="40"/>
              <w:jc w:val="left"/>
            </w:pPr>
            <w:r>
              <w:rPr>
                <w:b/>
                <w:i w:val="0"/>
                <w:color w:val="FFFFFF"/>
                <w:sz w:val="18"/>
              </w:rPr>
              <w:t>What it is</w:t>
            </w:r>
          </w:p>
        </w:tc>
        <w:tc>
          <w:tcPr>
            <w:tcW w:type="dxa" w:w="3197"/>
            <w:shd w:val="clear" w:color="auto" w:fill="1A56DB"/>
          </w:tcPr>
          <w:p>
            <w:pPr>
              <w:spacing w:before="40" w:after="40"/>
              <w:jc w:val="left"/>
            </w:pPr>
            <w:r>
              <w:rPr>
                <w:b/>
                <w:i w:val="0"/>
                <w:color w:val="FFFFFF"/>
                <w:sz w:val="18"/>
              </w:rPr>
              <w:t>Action needed</w:t>
            </w:r>
          </w:p>
        </w:tc>
      </w:tr>
      <w:tr>
        <w:tc>
          <w:tcPr>
            <w:tcW w:type="dxa" w:w="2880"/>
            <w:shd w:val="clear" w:color="auto" w:fill="FFFFFF"/>
          </w:tcPr>
          <w:p>
            <w:pPr>
              <w:spacing w:before="40" w:after="40"/>
              <w:jc w:val="left"/>
            </w:pPr>
            <w:r>
              <w:rPr>
                <w:b w:val="0"/>
                <w:i w:val="0"/>
                <w:color w:val="141413"/>
                <w:sz w:val="16"/>
              </w:rPr>
              <w:t>Already-redirected aliases → a retained article</w:t>
            </w:r>
          </w:p>
        </w:tc>
        <w:tc>
          <w:tcPr>
            <w:tcW w:type="dxa" w:w="864"/>
            <w:shd w:val="clear" w:color="auto" w:fill="FFFFFF"/>
          </w:tcPr>
          <w:p>
            <w:pPr>
              <w:spacing w:before="40" w:after="40"/>
              <w:jc w:val="left"/>
            </w:pPr>
            <w:r>
              <w:rPr>
                <w:b w:val="0"/>
                <w:i w:val="0"/>
                <w:color w:val="141413"/>
                <w:sz w:val="16"/>
              </w:rPr>
              <w:t>76</w:t>
            </w:r>
          </w:p>
        </w:tc>
        <w:tc>
          <w:tcPr>
            <w:tcW w:type="dxa" w:w="3024"/>
            <w:shd w:val="clear" w:color="auto" w:fill="FFFFFF"/>
          </w:tcPr>
          <w:p>
            <w:pPr>
              <w:spacing w:before="40" w:after="40"/>
              <w:jc w:val="left"/>
            </w:pPr>
            <w:r>
              <w:rPr>
                <w:b w:val="0"/>
                <w:i w:val="0"/>
                <w:color w:val="141413"/>
                <w:sz w:val="16"/>
              </w:rPr>
              <w:t>Old URL already 301s into a page we’re keeping</w:t>
            </w:r>
          </w:p>
        </w:tc>
        <w:tc>
          <w:tcPr>
            <w:tcW w:type="dxa" w:w="3197"/>
            <w:shd w:val="clear" w:color="auto" w:fill="FFFFFF"/>
          </w:tcPr>
          <w:p>
            <w:pPr>
              <w:spacing w:before="40" w:after="40"/>
              <w:jc w:val="left"/>
            </w:pPr>
            <w:r>
              <w:rPr>
                <w:b w:val="0"/>
                <w:i w:val="0"/>
                <w:color w:val="141413"/>
                <w:sz w:val="16"/>
              </w:rPr>
              <w:t>Re-point redirect to that article’s new URL</w:t>
            </w:r>
          </w:p>
        </w:tc>
      </w:tr>
      <w:tr>
        <w:tc>
          <w:tcPr>
            <w:tcW w:type="dxa" w:w="2880"/>
            <w:shd w:val="clear" w:color="auto" w:fill="FAFAFA"/>
          </w:tcPr>
          <w:p>
            <w:pPr>
              <w:spacing w:before="40" w:after="40"/>
              <w:jc w:val="left"/>
            </w:pPr>
            <w:r>
              <w:rPr>
                <w:b w:val="0"/>
                <w:i w:val="0"/>
                <w:color w:val="141413"/>
                <w:sz w:val="16"/>
              </w:rPr>
              <w:t>Already-redirected aliases → another removed page</w:t>
            </w:r>
          </w:p>
        </w:tc>
        <w:tc>
          <w:tcPr>
            <w:tcW w:type="dxa" w:w="864"/>
            <w:shd w:val="clear" w:color="auto" w:fill="FAFAFA"/>
          </w:tcPr>
          <w:p>
            <w:pPr>
              <w:spacing w:before="40" w:after="40"/>
              <w:jc w:val="left"/>
            </w:pPr>
            <w:r>
              <w:rPr>
                <w:b w:val="0"/>
                <w:i w:val="0"/>
                <w:color w:val="141413"/>
                <w:sz w:val="16"/>
              </w:rPr>
              <w:t>25</w:t>
            </w:r>
          </w:p>
        </w:tc>
        <w:tc>
          <w:tcPr>
            <w:tcW w:type="dxa" w:w="3024"/>
            <w:shd w:val="clear" w:color="auto" w:fill="FAFAFA"/>
          </w:tcPr>
          <w:p>
            <w:pPr>
              <w:spacing w:before="40" w:after="40"/>
              <w:jc w:val="left"/>
            </w:pPr>
            <w:r>
              <w:rPr>
                <w:b w:val="0"/>
                <w:i w:val="0"/>
                <w:color w:val="141413"/>
                <w:sz w:val="16"/>
              </w:rPr>
              <w:t>Old URL already 301s into a page also being cut</w:t>
            </w:r>
          </w:p>
        </w:tc>
        <w:tc>
          <w:tcPr>
            <w:tcW w:type="dxa" w:w="3197"/>
            <w:shd w:val="clear" w:color="auto" w:fill="FAFAFA"/>
          </w:tcPr>
          <w:p>
            <w:pPr>
              <w:spacing w:before="40" w:after="40"/>
              <w:jc w:val="left"/>
            </w:pPr>
            <w:r>
              <w:rPr>
                <w:b w:val="0"/>
                <w:i w:val="0"/>
                <w:color w:val="141413"/>
                <w:sz w:val="16"/>
              </w:rPr>
              <w:t>Retire together, no separate traffic impact</w:t>
            </w:r>
          </w:p>
        </w:tc>
      </w:tr>
      <w:tr>
        <w:tc>
          <w:tcPr>
            <w:tcW w:type="dxa" w:w="2880"/>
            <w:shd w:val="clear" w:color="auto" w:fill="FFFFFF"/>
          </w:tcPr>
          <w:p>
            <w:pPr>
              <w:spacing w:before="40" w:after="40"/>
              <w:jc w:val="left"/>
            </w:pPr>
            <w:r>
              <w:rPr>
                <w:b w:val="0"/>
                <w:i w:val="0"/>
                <w:color w:val="141413"/>
                <w:sz w:val="16"/>
              </w:rPr>
              <w:t>Dead-end aliases (target not in this audit)</w:t>
            </w:r>
          </w:p>
        </w:tc>
        <w:tc>
          <w:tcPr>
            <w:tcW w:type="dxa" w:w="864"/>
            <w:shd w:val="clear" w:color="auto" w:fill="FFFFFF"/>
          </w:tcPr>
          <w:p>
            <w:pPr>
              <w:spacing w:before="40" w:after="40"/>
              <w:jc w:val="left"/>
            </w:pPr>
            <w:r>
              <w:rPr>
                <w:b w:val="0"/>
                <w:i w:val="0"/>
                <w:color w:val="141413"/>
                <w:sz w:val="16"/>
              </w:rPr>
              <w:t>17</w:t>
            </w:r>
          </w:p>
        </w:tc>
        <w:tc>
          <w:tcPr>
            <w:tcW w:type="dxa" w:w="3024"/>
            <w:shd w:val="clear" w:color="auto" w:fill="FFFFFF"/>
          </w:tcPr>
          <w:p>
            <w:pPr>
              <w:spacing w:before="40" w:after="40"/>
              <w:jc w:val="left"/>
            </w:pPr>
            <w:r>
              <w:rPr>
                <w:b w:val="0"/>
                <w:i w:val="0"/>
                <w:color w:val="141413"/>
                <w:sz w:val="16"/>
              </w:rPr>
              <w:t>Old redirect chain, unclear/off-site target</w:t>
            </w:r>
          </w:p>
        </w:tc>
        <w:tc>
          <w:tcPr>
            <w:tcW w:type="dxa" w:w="3197"/>
            <w:shd w:val="clear" w:color="auto" w:fill="FFFFFF"/>
          </w:tcPr>
          <w:p>
            <w:pPr>
              <w:spacing w:before="40" w:after="40"/>
              <w:jc w:val="left"/>
            </w:pPr>
            <w:r>
              <w:rPr>
                <w:b w:val="0"/>
                <w:i w:val="0"/>
                <w:color w:val="141413"/>
                <w:sz w:val="16"/>
              </w:rPr>
              <w:t>Spot-check, then 410</w:t>
            </w:r>
          </w:p>
        </w:tc>
      </w:tr>
      <w:tr>
        <w:tc>
          <w:tcPr>
            <w:tcW w:type="dxa" w:w="2880"/>
            <w:shd w:val="clear" w:color="auto" w:fill="FAFAFA"/>
          </w:tcPr>
          <w:p>
            <w:pPr>
              <w:spacing w:before="40" w:after="40"/>
              <w:jc w:val="left"/>
            </w:pPr>
            <w:r>
              <w:rPr>
                <w:b w:val="0"/>
                <w:i w:val="0"/>
                <w:color w:val="141413"/>
                <w:sz w:val="16"/>
              </w:rPr>
              <w:t>Live, standalone thin/low-traffic pages + pruned tag pages</w:t>
            </w:r>
          </w:p>
        </w:tc>
        <w:tc>
          <w:tcPr>
            <w:tcW w:type="dxa" w:w="864"/>
            <w:shd w:val="clear" w:color="auto" w:fill="FAFAFA"/>
          </w:tcPr>
          <w:p>
            <w:pPr>
              <w:spacing w:before="40" w:after="40"/>
              <w:jc w:val="left"/>
            </w:pPr>
            <w:r>
              <w:rPr>
                <w:b w:val="0"/>
                <w:i w:val="0"/>
                <w:color w:val="141413"/>
                <w:sz w:val="16"/>
              </w:rPr>
              <w:t>180</w:t>
            </w:r>
          </w:p>
        </w:tc>
        <w:tc>
          <w:tcPr>
            <w:tcW w:type="dxa" w:w="3024"/>
            <w:shd w:val="clear" w:color="auto" w:fill="FAFAFA"/>
          </w:tcPr>
          <w:p>
            <w:pPr>
              <w:spacing w:before="40" w:after="40"/>
              <w:jc w:val="left"/>
            </w:pPr>
            <w:r>
              <w:rPr>
                <w:b w:val="0"/>
                <w:i w:val="0"/>
                <w:color w:val="141413"/>
                <w:sz w:val="16"/>
              </w:rPr>
              <w:t>Avg. 40 sessions/yr, max 163; includes ~22 low-value tag pages</w:t>
            </w:r>
          </w:p>
        </w:tc>
        <w:tc>
          <w:tcPr>
            <w:tcW w:type="dxa" w:w="3197"/>
            <w:shd w:val="clear" w:color="auto" w:fill="FAFAFA"/>
          </w:tcPr>
          <w:p>
            <w:pPr>
              <w:spacing w:before="40" w:after="40"/>
              <w:jc w:val="left"/>
            </w:pPr>
            <w:r>
              <w:rPr>
                <w:b w:val="0"/>
                <w:i w:val="0"/>
                <w:color w:val="141413"/>
                <w:sz w:val="16"/>
              </w:rPr>
              <w:t>Resolved — redirect or 410 assigned, see Section 4</w:t>
            </w:r>
          </w:p>
        </w:tc>
      </w:tr>
    </w:tbl>
    <w:p>
      <w:pPr>
        <w:spacing w:before="160" w:after="80"/>
        <w:jc w:val="left"/>
      </w:pPr>
      <w:r>
        <w:rPr>
          <w:b/>
          <w:i w:val="0"/>
          <w:color w:val="141413"/>
          <w:sz w:val="19"/>
        </w:rPr>
        <w:t>Combined traffic exposure across all 298 removed URLs: 8,675 sessions/12mo (7,244 from the 180 live pages + 1,431 from the 118 already-redirected aliases), vs. 277,759 for retained content — a ~3% share. This is a low-risk cut.</w:t>
      </w:r>
    </w:p>
    <w:tbl>
      <w:tblPr>
        <w:tblStyle w:val="TableGrid"/>
        <w:tblW w:type="auto" w:w="0"/>
        <w:tblLook w:firstColumn="1" w:firstRow="1" w:lastColumn="0" w:lastRow="0" w:noHBand="0" w:noVBand="1" w:val="04A0"/>
      </w:tblPr>
      <w:tblGrid>
        <w:gridCol w:w="9936"/>
      </w:tblGrid>
      <w:tr>
        <w:tc>
          <w:tcPr>
            <w:tcW w:type="dxa" w:w="9936"/>
            <w:shd w:val="clear" w:color="auto" w:fill="1A56DB"/>
          </w:tcPr>
          <w:p>
            <w:pPr>
              <w:spacing w:before="80" w:after="80"/>
              <w:jc w:val="left"/>
            </w:pPr>
            <w:r>
              <w:rPr>
                <w:b/>
                <w:color w:val="FFFFFF"/>
                <w:sz w:val="22"/>
              </w:rPr>
              <w:t>4. WHERE DO REMOVED ARTICLES GO? (RESEARCH COMPLETE)</w:t>
            </w:r>
          </w:p>
        </w:tc>
      </w:tr>
    </w:tbl>
    <w:p>
      <w:pPr>
        <w:spacing w:before="40" w:after="40"/>
        <w:jc w:val="left"/>
      </w:pPr>
    </w:p>
    <w:p>
      <w:pPr>
        <w:spacing w:before="80" w:after="120"/>
        <w:jc w:val="left"/>
      </w:pPr>
      <w:r>
        <w:rPr>
          <w:b w:val="0"/>
          <w:i w:val="0"/>
          <w:color w:val="141413"/>
          <w:sz w:val="19"/>
        </w:rPr>
        <w:t>The source sheet only specified a 410 for 6 URLs, leaving 222 removed URLs (the 180 live articles above, plus 42 legacy aliases whose old redirect target is also being cut) with no defined disposition. Each of the 222 was checked against the 223 retained articles’ new URLs AND the live socialpilot.co domain — /features, /industry, /tools, /compare — for a genuinely relevant, real, verified-live destination before deciding.</w:t>
      </w:r>
    </w:p>
    <w:tbl>
      <w:tblPr>
        <w:tblStyle w:val="TableGrid"/>
        <w:tblW w:type="auto" w:w="0"/>
        <w:tblLook w:firstColumn="1" w:firstRow="1" w:lastColumn="0" w:lastRow="0" w:noHBand="0" w:noVBand="1" w:val="04A0"/>
      </w:tblPr>
      <w:tblGrid>
        <w:gridCol w:w="2484"/>
        <w:gridCol w:w="2484"/>
        <w:gridCol w:w="2484"/>
        <w:gridCol w:w="2484"/>
      </w:tblGrid>
      <w:tr>
        <w:tc>
          <w:tcPr>
            <w:tcW w:type="dxa" w:w="2880"/>
            <w:shd w:val="clear" w:color="auto" w:fill="1A56DB"/>
          </w:tcPr>
          <w:p>
            <w:pPr>
              <w:spacing w:before="40" w:after="40"/>
              <w:jc w:val="left"/>
            </w:pPr>
            <w:r>
              <w:rPr>
                <w:b/>
                <w:i w:val="0"/>
                <w:color w:val="FFFFFF"/>
                <w:sz w:val="18"/>
              </w:rPr>
              <w:t>Outcome</w:t>
            </w:r>
          </w:p>
        </w:tc>
        <w:tc>
          <w:tcPr>
            <w:tcW w:type="dxa" w:w="1008"/>
            <w:shd w:val="clear" w:color="auto" w:fill="1A56DB"/>
          </w:tcPr>
          <w:p>
            <w:pPr>
              <w:spacing w:before="40" w:after="40"/>
              <w:jc w:val="left"/>
            </w:pPr>
            <w:r>
              <w:rPr>
                <w:b/>
                <w:i w:val="0"/>
                <w:color w:val="FFFFFF"/>
                <w:sz w:val="18"/>
              </w:rPr>
              <w:t>Count</w:t>
            </w:r>
          </w:p>
        </w:tc>
        <w:tc>
          <w:tcPr>
            <w:tcW w:type="dxa" w:w="1656"/>
            <w:shd w:val="clear" w:color="auto" w:fill="1A56DB"/>
          </w:tcPr>
          <w:p>
            <w:pPr>
              <w:spacing w:before="40" w:after="40"/>
              <w:jc w:val="left"/>
            </w:pPr>
            <w:r>
              <w:rPr>
                <w:b/>
                <w:i w:val="0"/>
                <w:color w:val="FFFFFF"/>
                <w:sz w:val="18"/>
              </w:rPr>
              <w:t>Sessions (12mo)</w:t>
            </w:r>
          </w:p>
        </w:tc>
        <w:tc>
          <w:tcPr>
            <w:tcW w:type="dxa" w:w="2981"/>
            <w:shd w:val="clear" w:color="auto" w:fill="1A56DB"/>
          </w:tcPr>
          <w:p>
            <w:pPr>
              <w:spacing w:before="40" w:after="40"/>
              <w:jc w:val="left"/>
            </w:pPr>
            <w:r>
              <w:rPr>
                <w:b/>
                <w:i w:val="0"/>
                <w:color w:val="FFFFFF"/>
                <w:sz w:val="18"/>
              </w:rPr>
              <w:t>What it means</w:t>
            </w:r>
          </w:p>
        </w:tc>
      </w:tr>
      <w:tr>
        <w:tc>
          <w:tcPr>
            <w:tcW w:type="dxa" w:w="2880"/>
            <w:shd w:val="clear" w:color="auto" w:fill="FFFFFF"/>
          </w:tcPr>
          <w:p>
            <w:pPr>
              <w:spacing w:before="40" w:after="40"/>
              <w:jc w:val="left"/>
            </w:pPr>
            <w:r>
              <w:rPr>
                <w:b w:val="0"/>
                <w:i w:val="0"/>
                <w:color w:val="141413"/>
                <w:sz w:val="16"/>
              </w:rPr>
              <w:t>Redirect — high confidence</w:t>
            </w:r>
          </w:p>
        </w:tc>
        <w:tc>
          <w:tcPr>
            <w:tcW w:type="dxa" w:w="1008"/>
            <w:shd w:val="clear" w:color="auto" w:fill="FFFFFF"/>
          </w:tcPr>
          <w:p>
            <w:pPr>
              <w:spacing w:before="40" w:after="40"/>
              <w:jc w:val="left"/>
            </w:pPr>
            <w:r>
              <w:rPr>
                <w:b w:val="0"/>
                <w:i w:val="0"/>
                <w:color w:val="141413"/>
                <w:sz w:val="16"/>
              </w:rPr>
              <w:t>61</w:t>
            </w:r>
          </w:p>
        </w:tc>
        <w:tc>
          <w:tcPr>
            <w:tcW w:type="dxa" w:w="1656"/>
            <w:shd w:val="clear" w:color="auto" w:fill="FFFFFF"/>
          </w:tcPr>
          <w:p>
            <w:pPr>
              <w:spacing w:before="40" w:after="40"/>
              <w:jc w:val="left"/>
            </w:pPr>
            <w:r>
              <w:rPr>
                <w:b w:val="0"/>
                <w:i w:val="0"/>
                <w:color w:val="141413"/>
                <w:sz w:val="16"/>
              </w:rPr>
              <w:t>—</w:t>
            </w:r>
          </w:p>
        </w:tc>
        <w:tc>
          <w:tcPr>
            <w:tcW w:type="dxa" w:w="2981"/>
            <w:shd w:val="clear" w:color="auto" w:fill="FFFFFF"/>
          </w:tcPr>
          <w:p>
            <w:pPr>
              <w:spacing w:before="40" w:after="40"/>
              <w:jc w:val="left"/>
            </w:pPr>
            <w:r>
              <w:rPr>
                <w:b w:val="0"/>
                <w:i w:val="0"/>
                <w:color w:val="141413"/>
                <w:sz w:val="16"/>
              </w:rPr>
              <w:t>Clear topical match to a retained page (e.g. how-to-sell-on-pinterest → how-to-make-money-on-pinterest)</w:t>
            </w:r>
          </w:p>
        </w:tc>
      </w:tr>
      <w:tr>
        <w:tc>
          <w:tcPr>
            <w:tcW w:type="dxa" w:w="2880"/>
            <w:shd w:val="clear" w:color="auto" w:fill="FAFAFA"/>
          </w:tcPr>
          <w:p>
            <w:pPr>
              <w:spacing w:before="40" w:after="40"/>
              <w:jc w:val="left"/>
            </w:pPr>
            <w:r>
              <w:rPr>
                <w:b w:val="0"/>
                <w:i w:val="0"/>
                <w:color w:val="141413"/>
                <w:sz w:val="16"/>
              </w:rPr>
              <w:t>Redirect — medium/low confidence</w:t>
            </w:r>
          </w:p>
        </w:tc>
        <w:tc>
          <w:tcPr>
            <w:tcW w:type="dxa" w:w="1008"/>
            <w:shd w:val="clear" w:color="auto" w:fill="FAFAFA"/>
          </w:tcPr>
          <w:p>
            <w:pPr>
              <w:spacing w:before="40" w:after="40"/>
              <w:jc w:val="left"/>
            </w:pPr>
            <w:r>
              <w:rPr>
                <w:b w:val="0"/>
                <w:i w:val="0"/>
                <w:color w:val="141413"/>
                <w:sz w:val="16"/>
              </w:rPr>
              <w:t>70</w:t>
            </w:r>
          </w:p>
        </w:tc>
        <w:tc>
          <w:tcPr>
            <w:tcW w:type="dxa" w:w="1656"/>
            <w:shd w:val="clear" w:color="auto" w:fill="FAFAFA"/>
          </w:tcPr>
          <w:p>
            <w:pPr>
              <w:spacing w:before="40" w:after="40"/>
              <w:jc w:val="left"/>
            </w:pPr>
            <w:r>
              <w:rPr>
                <w:b w:val="0"/>
                <w:i w:val="0"/>
                <w:color w:val="141413"/>
                <w:sz w:val="16"/>
              </w:rPr>
              <w:t>—</w:t>
            </w:r>
          </w:p>
        </w:tc>
        <w:tc>
          <w:tcPr>
            <w:tcW w:type="dxa" w:w="2981"/>
            <w:shd w:val="clear" w:color="auto" w:fill="FAFAFA"/>
          </w:tcPr>
          <w:p>
            <w:pPr>
              <w:spacing w:before="40" w:after="40"/>
              <w:jc w:val="left"/>
            </w:pPr>
            <w:r>
              <w:rPr>
                <w:b w:val="0"/>
                <w:i w:val="0"/>
                <w:color w:val="141413"/>
                <w:sz w:val="16"/>
              </w:rPr>
              <w:t>Reasonable but broader match (e.g. a niche how-to folding into a general topic hub)</w:t>
            </w:r>
          </w:p>
        </w:tc>
      </w:tr>
      <w:tr>
        <w:tc>
          <w:tcPr>
            <w:tcW w:type="dxa" w:w="2880"/>
            <w:shd w:val="clear" w:color="auto" w:fill="FFFFFF"/>
          </w:tcPr>
          <w:p>
            <w:pPr>
              <w:spacing w:before="40" w:after="40"/>
              <w:jc w:val="left"/>
            </w:pPr>
            <w:r>
              <w:rPr>
                <w:b w:val="0"/>
                <w:i w:val="0"/>
                <w:color w:val="141413"/>
                <w:sz w:val="16"/>
              </w:rPr>
              <w:t>410 Gone</w:t>
            </w:r>
          </w:p>
        </w:tc>
        <w:tc>
          <w:tcPr>
            <w:tcW w:type="dxa" w:w="1008"/>
            <w:shd w:val="clear" w:color="auto" w:fill="FFFFFF"/>
          </w:tcPr>
          <w:p>
            <w:pPr>
              <w:spacing w:before="40" w:after="40"/>
              <w:jc w:val="left"/>
            </w:pPr>
            <w:r>
              <w:rPr>
                <w:b w:val="0"/>
                <w:i w:val="0"/>
                <w:color w:val="141413"/>
                <w:sz w:val="16"/>
              </w:rPr>
              <w:t>91</w:t>
            </w:r>
          </w:p>
        </w:tc>
        <w:tc>
          <w:tcPr>
            <w:tcW w:type="dxa" w:w="1656"/>
            <w:shd w:val="clear" w:color="auto" w:fill="FFFFFF"/>
          </w:tcPr>
          <w:p>
            <w:pPr>
              <w:spacing w:before="40" w:after="40"/>
              <w:jc w:val="left"/>
            </w:pPr>
            <w:r>
              <w:rPr>
                <w:b w:val="0"/>
                <w:i w:val="0"/>
                <w:color w:val="141413"/>
                <w:sz w:val="16"/>
              </w:rPr>
              <w:t>2,697</w:t>
            </w:r>
          </w:p>
        </w:tc>
        <w:tc>
          <w:tcPr>
            <w:tcW w:type="dxa" w:w="2981"/>
            <w:shd w:val="clear" w:color="auto" w:fill="FFFFFF"/>
          </w:tcPr>
          <w:p>
            <w:pPr>
              <w:spacing w:before="40" w:after="40"/>
              <w:jc w:val="left"/>
            </w:pPr>
            <w:r>
              <w:rPr>
                <w:b w:val="0"/>
                <w:i w:val="0"/>
                <w:color w:val="141413"/>
                <w:sz w:val="16"/>
              </w:rPr>
              <w:t>No equivalent content exists anywhere on the domain — safe to retire outright</w:t>
            </w:r>
          </w:p>
        </w:tc>
      </w:tr>
      <w:tr>
        <w:tc>
          <w:tcPr>
            <w:tcW w:type="dxa" w:w="2880"/>
            <w:shd w:val="clear" w:color="auto" w:fill="FAFAFA"/>
          </w:tcPr>
          <w:p>
            <w:pPr>
              <w:spacing w:before="40" w:after="40"/>
              <w:jc w:val="left"/>
            </w:pPr>
            <w:r>
              <w:rPr>
                <w:b w:val="0"/>
                <w:i w:val="0"/>
                <w:color w:val="141413"/>
                <w:sz w:val="16"/>
              </w:rPr>
              <w:t>Total resolved</w:t>
            </w:r>
          </w:p>
        </w:tc>
        <w:tc>
          <w:tcPr>
            <w:tcW w:type="dxa" w:w="1008"/>
            <w:shd w:val="clear" w:color="auto" w:fill="FAFAFA"/>
          </w:tcPr>
          <w:p>
            <w:pPr>
              <w:spacing w:before="40" w:after="40"/>
              <w:jc w:val="left"/>
            </w:pPr>
            <w:r>
              <w:rPr>
                <w:b w:val="0"/>
                <w:i w:val="0"/>
                <w:color w:val="141413"/>
                <w:sz w:val="16"/>
              </w:rPr>
              <w:t>222</w:t>
            </w:r>
          </w:p>
        </w:tc>
        <w:tc>
          <w:tcPr>
            <w:tcW w:type="dxa" w:w="1656"/>
            <w:shd w:val="clear" w:color="auto" w:fill="FAFAFA"/>
          </w:tcPr>
          <w:p>
            <w:pPr>
              <w:spacing w:before="40" w:after="40"/>
              <w:jc w:val="left"/>
            </w:pPr>
            <w:r>
              <w:rPr>
                <w:b w:val="0"/>
                <w:i w:val="0"/>
                <w:color w:val="141413"/>
                <w:sz w:val="16"/>
              </w:rPr>
              <w:t>5,141 (redirects)</w:t>
            </w:r>
          </w:p>
        </w:tc>
        <w:tc>
          <w:tcPr>
            <w:tcW w:type="dxa" w:w="2981"/>
            <w:shd w:val="clear" w:color="auto" w:fill="FAFAFA"/>
          </w:tcPr>
          <w:p>
            <w:pPr>
              <w:spacing w:before="40" w:after="40"/>
              <w:jc w:val="left"/>
            </w:pPr>
            <w:r>
              <w:rPr>
                <w:b w:val="0"/>
                <w:i w:val="0"/>
                <w:color w:val="141413"/>
                <w:sz w:val="16"/>
              </w:rPr>
            </w:r>
          </w:p>
        </w:tc>
      </w:tr>
    </w:tbl>
    <w:p>
      <w:pPr>
        <w:spacing w:before="160" w:after="80"/>
        <w:jc w:val="left"/>
      </w:pPr>
      <w:r>
        <w:rPr>
          <w:b/>
          <w:i w:val="0"/>
          <w:color w:val="141413"/>
          <w:sz w:val="19"/>
        </w:rPr>
        <w:t>Full URL-by-URL detail — old URL, action, redirect target, confidence, and rationale — is in the companion workbook: BLOG_MIGRATION_removed_url_redirect_map__appendix.xlsx</w:t>
      </w:r>
    </w:p>
    <w:tbl>
      <w:tblPr>
        <w:tblStyle w:val="TableGrid"/>
        <w:tblW w:type="auto" w:w="0"/>
        <w:tblLook w:firstColumn="1" w:firstRow="1" w:lastColumn="0" w:lastRow="0" w:noHBand="0" w:noVBand="1" w:val="04A0"/>
      </w:tblPr>
      <w:tblGrid>
        <w:gridCol w:w="9936"/>
      </w:tblGrid>
      <w:tr>
        <w:tc>
          <w:tcPr>
            <w:tcW w:type="dxa" w:w="9936"/>
            <w:shd w:val="clear" w:color="auto" w:fill="FDECEC"/>
          </w:tcPr>
          <w:p>
            <w:pPr>
              <w:spacing w:before="80" w:after="40"/>
            </w:pPr>
            <w:r>
              <w:rPr>
                <w:b/>
                <w:color w:val="B42318"/>
                <w:sz w:val="20"/>
              </w:rPr>
              <w:t>Still needs sign-off before launch</w:t>
            </w:r>
          </w:p>
          <w:p>
            <w:pPr>
              <w:spacing w:before="20" w:after="60"/>
            </w:pPr>
            <w:r>
              <w:rPr>
                <w:color w:val="141413"/>
                <w:sz w:val="19"/>
              </w:rPr>
              <w:t>•  The 70 "medium/low confidence" redirects are judgment calls (e.g. a dentists article folding into a general doctors/healthcare page) — SEO/content lead should spot-check these before they go live.</w:t>
            </w:r>
          </w:p>
          <w:p>
            <w:pPr>
              <w:spacing w:before="20" w:after="60"/>
            </w:pPr>
            <w:r>
              <w:rPr>
                <w:color w:val="141413"/>
                <w:sz w:val="19"/>
              </w:rPr>
              <w:t>•  8 of the 131 redirects point to real, live pages found outside the original mapping tab: 5 go to the /compare or /insights section hub (still within this migration’s structure), and 3 go to pre-existing /industry/* landing pages (photography, NGO, restaurant marketing agency) that have nothing to do with this restructure — confirm all 8 are the intended landing spots, not just an acceptable fallback.</w:t>
            </w:r>
          </w:p>
          <w:p>
            <w:pPr>
              <w:spacing w:before="20" w:after="60"/>
            </w:pPr>
            <w:r>
              <w:rPr>
                <w:color w:val="141413"/>
                <w:sz w:val="19"/>
              </w:rPr>
              <w:t>•  1,814 internal links across the site currently point at pages being removed. These need to be found and repointed to the new redirect targets (or removed, for pages going to a 410) — a redirect alone does not fix a stale internal link. See Section 5.</w:t>
            </w:r>
          </w:p>
        </w:tc>
      </w:tr>
    </w:tbl>
    <w:p>
      <w:pPr>
        <w:spacing w:before="40" w:after="40"/>
        <w:jc w:val="left"/>
      </w:pPr>
    </w:p>
    <w:tbl>
      <w:tblPr>
        <w:tblStyle w:val="TableGrid"/>
        <w:tblW w:type="auto" w:w="0"/>
        <w:tblLook w:firstColumn="1" w:firstRow="1" w:lastColumn="0" w:lastRow="0" w:noHBand="0" w:noVBand="1" w:val="04A0"/>
      </w:tblPr>
      <w:tblGrid>
        <w:gridCol w:w="9936"/>
      </w:tblGrid>
      <w:tr>
        <w:tc>
          <w:tcPr>
            <w:tcW w:type="dxa" w:w="9936"/>
            <w:shd w:val="clear" w:color="auto" w:fill="1A56DB"/>
          </w:tcPr>
          <w:p>
            <w:pPr>
              <w:spacing w:before="80" w:after="80"/>
              <w:jc w:val="left"/>
            </w:pPr>
            <w:r>
              <w:rPr>
                <w:b/>
                <w:color w:val="FFFFFF"/>
                <w:sz w:val="22"/>
              </w:rPr>
              <w:t>5. EXECUTION CHECKLIST</w:t>
            </w:r>
          </w:p>
        </w:tc>
      </w:tr>
    </w:tbl>
    <w:p>
      <w:pPr>
        <w:spacing w:before="40" w:after="40"/>
        <w:jc w:val="left"/>
      </w:pPr>
    </w:p>
    <w:p>
      <w:pPr>
        <w:pStyle w:val="ListNumber"/>
        <w:spacing w:before="40" w:after="40"/>
      </w:pPr>
      <w:r>
        <w:rPr>
          <w:color w:val="141413"/>
          <w:sz w:val="19"/>
        </w:rPr>
        <w:t>SEO/content lead spot-checks the 70 medium/low-confidence redirects in the appendix workbook (Section 4).</w:t>
      </w:r>
    </w:p>
    <w:p>
      <w:pPr>
        <w:pStyle w:val="ListNumber"/>
        <w:spacing w:before="40" w:after="40"/>
      </w:pPr>
      <w:r>
        <w:rPr>
          <w:color w:val="141413"/>
          <w:sz w:val="19"/>
        </w:rPr>
        <w:t>Implement all 223 verified 301 redirects from the URL Mapping tab (retained articles).</w:t>
      </w:r>
    </w:p>
    <w:p>
      <w:pPr>
        <w:pStyle w:val="ListNumber"/>
        <w:spacing w:before="40" w:after="40"/>
      </w:pPr>
      <w:r>
        <w:rPr>
          <w:color w:val="141413"/>
          <w:sz w:val="19"/>
        </w:rPr>
        <w:t>Implement the 131 redirects + 91 410s for removed URLs from the appendix workbook.</w:t>
      </w:r>
    </w:p>
    <w:p>
      <w:pPr>
        <w:pStyle w:val="ListNumber"/>
        <w:spacing w:before="40" w:after="40"/>
      </w:pPr>
      <w:r>
        <w:rPr>
          <w:color w:val="141413"/>
          <w:sz w:val="19"/>
        </w:rPr>
        <w:t>Audit and repoint the 1,814 internal links currently pointing at removed URLs.</w:t>
      </w:r>
    </w:p>
    <w:p>
      <w:pPr>
        <w:pStyle w:val="ListNumber"/>
        <w:spacing w:before="40" w:after="40"/>
      </w:pPr>
      <w:r>
        <w:rPr>
          <w:color w:val="141413"/>
          <w:sz w:val="19"/>
        </w:rPr>
        <w:t>Update the XML sitemap: add new /insights, /strategy, /compare URLs; remove pruned URLs.</w:t>
      </w:r>
    </w:p>
    <w:p>
      <w:pPr>
        <w:pStyle w:val="ListNumber"/>
        <w:spacing w:before="40" w:after="40"/>
      </w:pPr>
      <w:r>
        <w:rPr>
          <w:color w:val="141413"/>
          <w:sz w:val="19"/>
        </w:rPr>
        <w:t>Update main nav, footer, and related-posts modules to reflect the 3 new sections.</w:t>
      </w:r>
    </w:p>
    <w:p>
      <w:pPr>
        <w:pStyle w:val="ListNumber"/>
        <w:spacing w:before="40" w:after="40"/>
      </w:pPr>
      <w:r>
        <w:rPr>
          <w:color w:val="141413"/>
          <w:sz w:val="19"/>
        </w:rPr>
        <w:t>Submit the updated sitemap in Google Search Console and spot-check a sample of redirects live.</w:t>
      </w:r>
    </w:p>
    <w:p>
      <w:pPr>
        <w:pStyle w:val="ListNumber"/>
        <w:spacing w:before="40" w:after="40"/>
      </w:pPr>
      <w:r>
        <w:rPr>
          <w:color w:val="141413"/>
          <w:sz w:val="19"/>
        </w:rPr>
        <w:t>Monitor 404s, redirect chains, and organic traffic for all migrated/redirected URLs at 7 / 30 / 60 / 90 days post-launch.</w:t>
      </w:r>
    </w:p>
    <w:tbl>
      <w:tblPr>
        <w:tblStyle w:val="TableGrid"/>
        <w:tblW w:type="auto" w:w="0"/>
        <w:tblLook w:firstColumn="1" w:firstRow="1" w:lastColumn="0" w:lastRow="0" w:noHBand="0" w:noVBand="1" w:val="04A0"/>
      </w:tblPr>
      <w:tblGrid>
        <w:gridCol w:w="9936"/>
      </w:tblGrid>
      <w:tr>
        <w:tc>
          <w:tcPr>
            <w:tcW w:type="dxa" w:w="9936"/>
            <w:shd w:val="clear" w:color="auto" w:fill="1A56DB"/>
          </w:tcPr>
          <w:p>
            <w:pPr>
              <w:spacing w:before="80" w:after="80"/>
              <w:jc w:val="left"/>
            </w:pPr>
            <w:r>
              <w:rPr>
                <w:b/>
                <w:color w:val="FFFFFF"/>
                <w:sz w:val="22"/>
              </w:rPr>
              <w:t>6. SUGGESTED TIMELINE</w:t>
            </w:r>
          </w:p>
        </w:tc>
      </w:tr>
    </w:tbl>
    <w:p>
      <w:pPr>
        <w:spacing w:before="40" w:after="40"/>
        <w:jc w:val="left"/>
      </w:pPr>
    </w:p>
    <w:tbl>
      <w:tblPr>
        <w:tblStyle w:val="TableGrid"/>
        <w:tblW w:type="auto" w:w="0"/>
        <w:tblLook w:firstColumn="1" w:firstRow="1" w:lastColumn="0" w:lastRow="0" w:noHBand="0" w:noVBand="1" w:val="04A0"/>
      </w:tblPr>
      <w:tblGrid>
        <w:gridCol w:w="4968"/>
        <w:gridCol w:w="4968"/>
      </w:tblGrid>
      <w:tr>
        <w:tc>
          <w:tcPr>
            <w:tcW w:type="dxa" w:w="1584"/>
            <w:shd w:val="clear" w:color="auto" w:fill="1A56DB"/>
          </w:tcPr>
          <w:p>
            <w:pPr>
              <w:spacing w:before="40" w:after="40"/>
              <w:jc w:val="left"/>
            </w:pPr>
            <w:r>
              <w:rPr>
                <w:b/>
                <w:i w:val="0"/>
                <w:color w:val="FFFFFF"/>
                <w:sz w:val="18"/>
              </w:rPr>
              <w:t>Week</w:t>
            </w:r>
          </w:p>
        </w:tc>
        <w:tc>
          <w:tcPr>
            <w:tcW w:type="dxa" w:w="7085"/>
            <w:shd w:val="clear" w:color="auto" w:fill="1A56DB"/>
          </w:tcPr>
          <w:p>
            <w:pPr>
              <w:spacing w:before="40" w:after="40"/>
              <w:jc w:val="left"/>
            </w:pPr>
            <w:r>
              <w:rPr>
                <w:b/>
                <w:i w:val="0"/>
                <w:color w:val="FFFFFF"/>
                <w:sz w:val="18"/>
              </w:rPr>
              <w:t>Milestone</w:t>
            </w:r>
          </w:p>
        </w:tc>
      </w:tr>
      <w:tr>
        <w:tc>
          <w:tcPr>
            <w:tcW w:type="dxa" w:w="1584"/>
            <w:shd w:val="clear" w:color="auto" w:fill="FFFFFF"/>
          </w:tcPr>
          <w:p>
            <w:pPr>
              <w:spacing w:before="40" w:after="40"/>
              <w:jc w:val="left"/>
            </w:pPr>
            <w:r>
              <w:rPr>
                <w:b w:val="0"/>
                <w:i w:val="0"/>
                <w:color w:val="141413"/>
                <w:sz w:val="17"/>
              </w:rPr>
              <w:t>Week 1</w:t>
            </w:r>
          </w:p>
        </w:tc>
        <w:tc>
          <w:tcPr>
            <w:tcW w:type="dxa" w:w="7085"/>
            <w:shd w:val="clear" w:color="auto" w:fill="FFFFFF"/>
          </w:tcPr>
          <w:p>
            <w:pPr>
              <w:spacing w:before="40" w:after="40"/>
              <w:jc w:val="left"/>
            </w:pPr>
            <w:r>
              <w:rPr>
                <w:b w:val="0"/>
                <w:i w:val="0"/>
                <w:color w:val="141413"/>
                <w:sz w:val="17"/>
              </w:rPr>
              <w:t>SEO sign-off on the removed-URL redirect map (Section 4); QA full redirect set</w:t>
            </w:r>
          </w:p>
        </w:tc>
      </w:tr>
      <w:tr>
        <w:tc>
          <w:tcPr>
            <w:tcW w:type="dxa" w:w="1584"/>
            <w:shd w:val="clear" w:color="auto" w:fill="FAFAFA"/>
          </w:tcPr>
          <w:p>
            <w:pPr>
              <w:spacing w:before="40" w:after="40"/>
              <w:jc w:val="left"/>
            </w:pPr>
            <w:r>
              <w:rPr>
                <w:b w:val="0"/>
                <w:i w:val="0"/>
                <w:color w:val="141413"/>
                <w:sz w:val="17"/>
              </w:rPr>
              <w:t>Week 2</w:t>
            </w:r>
          </w:p>
        </w:tc>
        <w:tc>
          <w:tcPr>
            <w:tcW w:type="dxa" w:w="7085"/>
            <w:shd w:val="clear" w:color="auto" w:fill="FAFAFA"/>
          </w:tcPr>
          <w:p>
            <w:pPr>
              <w:spacing w:before="40" w:after="40"/>
              <w:jc w:val="left"/>
            </w:pPr>
            <w:r>
              <w:rPr>
                <w:b w:val="0"/>
                <w:i w:val="0"/>
                <w:color w:val="141413"/>
                <w:sz w:val="17"/>
              </w:rPr>
              <w:t>Implement redirects + 410s in staging; repoint internal links</w:t>
            </w:r>
          </w:p>
        </w:tc>
      </w:tr>
      <w:tr>
        <w:tc>
          <w:tcPr>
            <w:tcW w:type="dxa" w:w="1584"/>
            <w:shd w:val="clear" w:color="auto" w:fill="FFFFFF"/>
          </w:tcPr>
          <w:p>
            <w:pPr>
              <w:spacing w:before="40" w:after="40"/>
              <w:jc w:val="left"/>
            </w:pPr>
            <w:r>
              <w:rPr>
                <w:b w:val="0"/>
                <w:i w:val="0"/>
                <w:color w:val="141413"/>
                <w:sz w:val="17"/>
              </w:rPr>
              <w:t>Week 3</w:t>
            </w:r>
          </w:p>
        </w:tc>
        <w:tc>
          <w:tcPr>
            <w:tcW w:type="dxa" w:w="7085"/>
            <w:shd w:val="clear" w:color="auto" w:fill="FFFFFF"/>
          </w:tcPr>
          <w:p>
            <w:pPr>
              <w:spacing w:before="40" w:after="40"/>
              <w:jc w:val="left"/>
            </w:pPr>
            <w:r>
              <w:rPr>
                <w:b w:val="0"/>
                <w:i w:val="0"/>
                <w:color w:val="141413"/>
                <w:sz w:val="17"/>
              </w:rPr>
              <w:t>Launch; submit sitemap to Google Search Console</w:t>
            </w:r>
          </w:p>
        </w:tc>
      </w:tr>
      <w:tr>
        <w:tc>
          <w:tcPr>
            <w:tcW w:type="dxa" w:w="1584"/>
            <w:shd w:val="clear" w:color="auto" w:fill="FAFAFA"/>
          </w:tcPr>
          <w:p>
            <w:pPr>
              <w:spacing w:before="40" w:after="40"/>
              <w:jc w:val="left"/>
            </w:pPr>
            <w:r>
              <w:rPr>
                <w:b w:val="0"/>
                <w:i w:val="0"/>
                <w:color w:val="141413"/>
                <w:sz w:val="17"/>
              </w:rPr>
              <w:t>Weeks 4–12</w:t>
            </w:r>
          </w:p>
        </w:tc>
        <w:tc>
          <w:tcPr>
            <w:tcW w:type="dxa" w:w="7085"/>
            <w:shd w:val="clear" w:color="auto" w:fill="FAFAFA"/>
          </w:tcPr>
          <w:p>
            <w:pPr>
              <w:spacing w:before="40" w:after="40"/>
              <w:jc w:val="left"/>
            </w:pPr>
            <w:r>
              <w:rPr>
                <w:b w:val="0"/>
                <w:i w:val="0"/>
                <w:color w:val="141413"/>
                <w:sz w:val="17"/>
              </w:rPr>
              <w:t>Monitor rankings/traffic; fix any redirect chains or stray 404s</w:t>
            </w:r>
          </w:p>
        </w:tc>
      </w:tr>
    </w:tbl>
    <w:tbl>
      <w:tblPr>
        <w:tblStyle w:val="TableGrid"/>
        <w:tblW w:type="auto" w:w="0"/>
        <w:tblLook w:firstColumn="1" w:firstRow="1" w:lastColumn="0" w:lastRow="0" w:noHBand="0" w:noVBand="1" w:val="04A0"/>
      </w:tblPr>
      <w:tblGrid>
        <w:gridCol w:w="9936"/>
      </w:tblGrid>
      <w:tr>
        <w:tc>
          <w:tcPr>
            <w:tcW w:type="dxa" w:w="9936"/>
            <w:shd w:val="clear" w:color="auto" w:fill="1A56DB"/>
          </w:tcPr>
          <w:p>
            <w:pPr>
              <w:spacing w:before="80" w:after="80"/>
              <w:jc w:val="left"/>
            </w:pPr>
            <w:r>
              <w:rPr>
                <w:b/>
                <w:color w:val="FFFFFF"/>
                <w:sz w:val="22"/>
              </w:rPr>
              <w:t>7. SUCCESS METRICS</w:t>
            </w:r>
          </w:p>
        </w:tc>
      </w:tr>
    </w:tbl>
    <w:p>
      <w:pPr>
        <w:spacing w:before="40" w:after="40"/>
        <w:jc w:val="left"/>
      </w:pPr>
    </w:p>
    <w:p>
      <w:pPr>
        <w:pStyle w:val="ListBullet"/>
        <w:spacing w:before="20" w:after="20"/>
      </w:pPr>
      <w:r>
        <w:rPr>
          <w:color w:val="141413"/>
          <w:sz w:val="19"/>
        </w:rPr>
        <w:t>No net loss in organic sessions to migrated content at the 60/90-day mark (baseline: 277,759 sessions/12mo across the 223 retained articles).</w:t>
      </w:r>
    </w:p>
    <w:p>
      <w:pPr>
        <w:pStyle w:val="ListBullet"/>
        <w:spacing w:before="20" w:after="20"/>
      </w:pPr>
      <w:r>
        <w:rPr>
          <w:color w:val="141413"/>
          <w:sz w:val="19"/>
        </w:rPr>
        <w:t>Zero 404s reachable via internal links post-launch.</w:t>
      </w:r>
    </w:p>
    <w:p>
      <w:pPr>
        <w:pStyle w:val="ListBullet"/>
        <w:spacing w:before="20" w:after="20"/>
      </w:pPr>
      <w:r>
        <w:rPr>
          <w:color w:val="141413"/>
          <w:sz w:val="19"/>
        </w:rPr>
        <w:t>All 223 retained-article redirects resolve in a single hop — no chains.</w:t>
      </w:r>
    </w:p>
    <w:p>
      <w:pPr>
        <w:pStyle w:val="ListBullet"/>
        <w:spacing w:before="20" w:after="20"/>
      </w:pPr>
      <w:r>
        <w:rPr>
          <w:color w:val="141413"/>
          <w:sz w:val="19"/>
        </w:rPr>
        <w:t>Search Console shows the new /insights, /strategy, /compare URLs indexed within 30 days.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