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  <w:spacing w:before="0" w:after="0"/>
        <w:spacing w:after="160"/>
      </w:pPr>
      <w:r>
        <w:rPr>
          <w:rFonts w:ascii="Calibri" w:hAnsi="Calibri"/>
          <w:b/>
          <w:color w:val="1A56DB"/>
          <w:sz w:val="30"/>
        </w:rPr>
        <w:t>CONTENT BRIEF: How Niching Your Social Media Agency Makes You More Money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1. BASICS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Topic / Working Title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How Niching Your Social Media Agency Makes You More Money</w:t>
            </w:r>
          </w:p>
        </w:tc>
      </w:tr>
      <w:tr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Content Type</w:t>
            </w:r>
          </w:p>
        </w:tc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Long-form Educational Blog Post</w:t>
            </w:r>
          </w:p>
        </w:tc>
      </w:tr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Funnel Stage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Top of Funnel (ToFU) — Awareness &amp; Consideration</w:t>
            </w:r>
          </w:p>
        </w:tc>
      </w:tr>
      <w:tr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Primary Goal</w:t>
            </w:r>
          </w:p>
        </w:tc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Convince agency owners (with hard data) that specialisation is the primary lever for higher margins, better clients, and faster growth — and give them a framework to choose and validate a niche</w:t>
            </w:r>
          </w:p>
        </w:tc>
      </w:tr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Target Word Count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3,200–3,800 words</w:t>
            </w:r>
          </w:p>
        </w:tc>
      </w:tr>
      <w:tr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Author Note</w:t>
            </w:r>
          </w:p>
        </w:tc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Data-led narrative throughout. Every stat must cite a named source. No generic advice — specific benchmarks, named agencies, named expert quotes only.</w:t>
            </w:r>
          </w:p>
        </w:tc>
      </w:tr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Publish Destination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SocialPilot Blog</w:t>
            </w:r>
          </w:p>
        </w:tc>
      </w:tr>
      <w:tr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Assigned Writer</w:t>
            </w:r>
          </w:p>
        </w:tc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[TBD]</w:t>
            </w:r>
          </w:p>
        </w:tc>
      </w:tr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Due Date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[TBD]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2. SEO TARGETS</w:t>
            </w:r>
          </w:p>
        </w:tc>
      </w:tr>
    </w:tbl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Primary Keyword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Keyword</w:t>
            </w:r>
          </w:p>
        </w:tc>
        <w:tc>
          <w:tcPr>
            <w:tcW w:type="dxa" w:w="2448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Est. Monthly Volume</w:t>
            </w:r>
          </w:p>
        </w:tc>
        <w:tc>
          <w:tcPr>
            <w:tcW w:type="dxa" w:w="2448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Difficulty</w:t>
            </w:r>
          </w:p>
        </w:tc>
        <w:tc>
          <w:tcPr>
            <w:tcW w:type="dxa" w:w="2448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Intent</w:t>
            </w:r>
          </w:p>
        </w:tc>
      </w:tr>
      <w:tr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niche social media agency</w:t>
            </w:r>
          </w:p>
        </w:tc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800–1,200</w:t>
            </w:r>
          </w:p>
        </w:tc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Medium</w:t>
            </w:r>
          </w:p>
        </w:tc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Informational / Commercial</w:t>
            </w:r>
          </w:p>
        </w:tc>
      </w:tr>
      <w:tr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social media agency niche</w:t>
            </w:r>
          </w:p>
        </w:tc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600–900</w:t>
            </w:r>
          </w:p>
        </w:tc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Medium</w:t>
            </w:r>
          </w:p>
        </w:tc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Informational</w:t>
            </w:r>
          </w:p>
        </w:tc>
      </w:tr>
    </w:tbl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Secondary Keywords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Keyword</w:t>
            </w:r>
          </w:p>
        </w:tc>
        <w:tc>
          <w:tcPr>
            <w:tcW w:type="dxa" w:w="2448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Est. Monthly Volume</w:t>
            </w:r>
          </w:p>
        </w:tc>
        <w:tc>
          <w:tcPr>
            <w:tcW w:type="dxa" w:w="2448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Difficulty</w:t>
            </w:r>
          </w:p>
        </w:tc>
        <w:tc>
          <w:tcPr>
            <w:tcW w:type="dxa" w:w="2448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Intent</w:t>
            </w:r>
          </w:p>
        </w:tc>
      </w:tr>
      <w:tr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how to niche down as an agency</w:t>
            </w:r>
          </w:p>
        </w:tc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300–500</w:t>
            </w:r>
          </w:p>
        </w:tc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Low–Medium</w:t>
            </w:r>
          </w:p>
        </w:tc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Informational</w:t>
            </w:r>
          </w:p>
        </w:tc>
      </w:tr>
      <w:tr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social media agency specialization</w:t>
            </w:r>
          </w:p>
        </w:tc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400–600</w:t>
            </w:r>
          </w:p>
        </w:tc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Medium</w:t>
            </w:r>
          </w:p>
        </w:tc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Informational</w:t>
            </w:r>
          </w:p>
        </w:tc>
      </w:tr>
      <w:tr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most profitable social media agency niche</w:t>
            </w:r>
          </w:p>
        </w:tc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200–400</w:t>
            </w:r>
          </w:p>
        </w:tc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Low</w:t>
            </w:r>
          </w:p>
        </w:tc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Informational / Commercial</w:t>
            </w:r>
          </w:p>
        </w:tc>
      </w:tr>
      <w:tr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vertical social media agency</w:t>
            </w:r>
          </w:p>
        </w:tc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150–300</w:t>
            </w:r>
          </w:p>
        </w:tc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Low</w:t>
            </w:r>
          </w:p>
        </w:tc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Informational</w:t>
            </w:r>
          </w:p>
        </w:tc>
      </w:tr>
      <w:tr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niche agency vs generalist agency</w:t>
            </w:r>
          </w:p>
        </w:tc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200–350</w:t>
            </w:r>
          </w:p>
        </w:tc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Low–Medium</w:t>
            </w:r>
          </w:p>
        </w:tc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Informational</w:t>
            </w:r>
          </w:p>
        </w:tc>
      </w:tr>
      <w:tr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best niche for social media agency</w:t>
            </w:r>
          </w:p>
        </w:tc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250–400</w:t>
            </w:r>
          </w:p>
        </w:tc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Low</w:t>
            </w:r>
          </w:p>
        </w:tc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Commercial</w:t>
            </w:r>
          </w:p>
        </w:tc>
      </w:tr>
      <w:tr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how to grow a social media agency</w:t>
            </w:r>
          </w:p>
        </w:tc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500–800</w:t>
            </w:r>
          </w:p>
        </w:tc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Medium</w:t>
            </w:r>
          </w:p>
        </w:tc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Informational</w:t>
            </w:r>
          </w:p>
        </w:tc>
      </w:tr>
      <w:tr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social media agency profit margin</w:t>
            </w:r>
          </w:p>
        </w:tc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150–250</w:t>
            </w:r>
          </w:p>
        </w:tc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Low</w:t>
            </w:r>
          </w:p>
        </w:tc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Informational</w:t>
            </w:r>
          </w:p>
        </w:tc>
      </w:tr>
      <w:tr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agency niche selection framework</w:t>
            </w:r>
          </w:p>
        </w:tc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100–200</w:t>
            </w:r>
          </w:p>
        </w:tc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Low</w:t>
            </w:r>
          </w:p>
        </w:tc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Informational</w:t>
            </w:r>
          </w:p>
        </w:tc>
      </w:tr>
      <w:tr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social media agency pricing strategy</w:t>
            </w:r>
          </w:p>
        </w:tc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300–500</w:t>
            </w:r>
          </w:p>
        </w:tc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Medium</w:t>
            </w:r>
          </w:p>
        </w:tc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Informational / Commercial</w:t>
            </w:r>
          </w:p>
        </w:tc>
      </w:tr>
      <w:tr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how to position a social media agency</w:t>
            </w:r>
          </w:p>
        </w:tc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150–300</w:t>
            </w:r>
          </w:p>
        </w:tc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Low</w:t>
            </w:r>
          </w:p>
        </w:tc>
        <w:tc>
          <w:tcPr>
            <w:tcW w:type="dxa" w:w="244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Informational</w:t>
            </w:r>
          </w:p>
        </w:tc>
      </w:tr>
      <w:tr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agency specialization revenue</w:t>
            </w:r>
          </w:p>
        </w:tc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100–200</w:t>
            </w:r>
          </w:p>
        </w:tc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Low</w:t>
            </w:r>
          </w:p>
        </w:tc>
        <w:tc>
          <w:tcPr>
            <w:tcW w:type="dxa" w:w="244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Informational</w:t>
            </w:r>
          </w:p>
        </w:tc>
      </w:tr>
    </w:tbl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People Also Ask / PAA Questions to Answer in Article</w:t>
      </w:r>
    </w:p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How do I choose a niche for my social media agency?</w:t>
      </w:r>
    </w:p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Is it better to be a generalist or specialist agency?</w:t>
      </w:r>
    </w:p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What are the most profitable niches for a social media agency?</w:t>
      </w:r>
    </w:p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How much more do niche agencies charge than generalists?</w:t>
      </w:r>
    </w:p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How do niche agencies get clients?</w:t>
      </w:r>
    </w:p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What is the average profit margin for a social media agency?</w:t>
      </w:r>
    </w:p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How do you grow a social media agency fast?</w:t>
      </w:r>
    </w:p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What industries pay the most for social media management?</w:t>
      </w:r>
    </w:p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How do I differentiate my social media agency?</w:t>
      </w:r>
    </w:p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What is vertical specialisation in a marketing agency?</w:t>
      </w:r>
    </w:p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Can a small agency compete against large agencies by niching?</w:t>
      </w:r>
    </w:p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What are the risks of niching your agency?</w:t>
      </w:r>
    </w:p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Meta Title (≤ 60 chars)</w:t>
      </w:r>
    </w:p>
    <w:p>
      <w:pPr>
        <w:spacing w:before="0" w:after="0"/>
        <w:spacing w:before="0" w:after="60"/>
      </w:pPr>
      <w:r>
        <w:rPr>
          <w:rFonts w:ascii="Calibri" w:hAnsi="Calibri"/>
          <w:b w:val="0"/>
          <w:color w:val="141413"/>
          <w:sz w:val="18"/>
        </w:rPr>
        <w:t>How Niching Your Social Media Agency Makes You More Money</w:t>
      </w:r>
    </w:p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Meta Description (≤ 160 chars)</w:t>
      </w:r>
    </w:p>
    <w:p>
      <w:pPr>
        <w:spacing w:before="0" w:after="0"/>
        <w:spacing w:before="0" w:after="60"/>
      </w:pPr>
      <w:r>
        <w:rPr>
          <w:rFonts w:ascii="Calibri" w:hAnsi="Calibri"/>
          <w:b w:val="0"/>
          <w:color w:val="141413"/>
          <w:sz w:val="18"/>
        </w:rPr>
        <w:t>84% of agencies now identify as specialists — and they earn 25–40% margins vs. 15–20% for generalists. Here's the data and a framework to niche your agency.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3. TARGET AUDIENCE &amp; ICP</w:t>
            </w:r>
          </w:p>
        </w:tc>
      </w:tr>
    </w:tbl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Primary Reader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Role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Founder / Owner of a social media or digital marketing agency</w:t>
            </w:r>
          </w:p>
        </w:tc>
      </w:tr>
      <w:tr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Agency Size</w:t>
            </w:r>
          </w:p>
        </w:tc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2–50 employees; $200K–$5M annual revenue</w:t>
            </w:r>
          </w:p>
        </w:tc>
      </w:tr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Stage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Growing but plateauing — frustrated by inconsistent deal flow, price pressure, and losing pitches to specialists who already know the prospect's industry</w:t>
            </w:r>
          </w:p>
        </w:tc>
      </w:tr>
      <w:tr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Pain State</w:t>
            </w:r>
          </w:p>
        </w:tc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Serves too many client types; can't systematise delivery; underpriced compared to what specialist agencies in their space charge</w:t>
            </w:r>
          </w:p>
        </w:tc>
      </w:tr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Goal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Scale revenue, increase margins, reduce sales cycle length, win better-fit clients who don't negotiate on price</w:t>
            </w:r>
          </w:p>
        </w:tc>
      </w:tr>
      <w:tr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Reads / Follows</w:t>
            </w:r>
          </w:p>
        </w:tc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Jason Swenk, Karl Sakas, Blair Enns, Corey Quinn; agency podcasts; SocialPilot blog</w:t>
            </w:r>
          </w:p>
        </w:tc>
      </w:tr>
    </w:tbl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Secondary Reader</w:t>
      </w:r>
    </w:p>
    <w:p>
      <w:pPr>
        <w:spacing w:before="0" w:after="0"/>
        <w:spacing w:before="0" w:after="60"/>
      </w:pPr>
      <w:r>
        <w:rPr>
          <w:rFonts w:ascii="Calibri" w:hAnsi="Calibri"/>
          <w:b w:val="0"/>
          <w:color w:val="141413"/>
          <w:sz w:val="18"/>
        </w:rPr>
        <w:t>Freelance social media manager transitioning to an agency model, evaluating whether to go broad or narrow from day one.</w:t>
      </w:r>
    </w:p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Reader Mindset &amp; Objections</w:t>
      </w:r>
    </w:p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Knows 'niche down' is common advice but hasn't seen the actual financial case — needs proof, not inspiration</w:t>
      </w:r>
    </w:p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Fears that niching = turning away revenue in the short term</w:t>
      </w:r>
    </w:p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Wants a practical validation framework, not a theoretical positioning exercise</w:t>
      </w:r>
    </w:p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Worried about market concentration risk: 'What if my niche tanks?'</w:t>
      </w:r>
    </w:p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Has probably served a handful of clients in one vertical already but hasn't made it intentional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4. SERP &amp; COMPETITIVE ANALYSIS</w:t>
            </w:r>
          </w:p>
        </w:tc>
      </w:tr>
    </w:tbl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Current SERP Landscape</w:t>
      </w:r>
    </w:p>
    <w:p>
      <w:pPr>
        <w:spacing w:before="0" w:after="0"/>
        <w:spacing w:before="0" w:after="60"/>
      </w:pPr>
      <w:r>
        <w:rPr>
          <w:rFonts w:ascii="Calibri" w:hAnsi="Calibri"/>
          <w:b w:val="0"/>
          <w:color w:val="141413"/>
          <w:sz w:val="18"/>
        </w:rPr>
        <w:t>The SERP for 'niche social media agency' is dominated by shallow listicle posts ('best niches to target'), vendor blog posts from agency tools, and generic how-to guides. Almost none cite primary benchmark reports or real case studies with specific revenue figures. There is clear white space for a single authoritative, data-first piece that combines financial benchmarks, named agency case studies, and an actionable niche-selection framework.</w:t>
      </w:r>
    </w:p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Top Competing Content Pieces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3264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Angle</w:t>
            </w:r>
          </w:p>
        </w:tc>
        <w:tc>
          <w:tcPr>
            <w:tcW w:type="dxa" w:w="3264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Gap / Weakness</w:t>
            </w:r>
          </w:p>
        </w:tc>
      </w:tr>
      <w:tr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Agency Analytics Blog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'How to Pick Your Agency Niche' — framework-focused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No revenue or margin benchmarks; no case studies with figures</w:t>
            </w:r>
          </w:p>
        </w:tc>
      </w:tr>
      <w:tr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Agency Analytics Blog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'Why Niche Agencies Excel: 16 Experts' — quote compilation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Opinion-heavy; no primary data; no Promethean/Predictable Profits sourcing</w:t>
            </w:r>
          </w:p>
        </w:tc>
      </w:tr>
      <w:tr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Phantom Leads AI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'Should Your Agency Niche Down? The Data Says Yes'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Strong data points but thin content; no operational or vertical pricing angle</w:t>
            </w:r>
          </w:p>
        </w:tc>
      </w:tr>
      <w:tr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ALM Corp Blog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'Most Profitable Niches for Digital Marketing Agencies 2026'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Niche listing only; no niche-selection framework or expert attribution</w:t>
            </w:r>
          </w:p>
        </w:tc>
      </w:tr>
      <w:tr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InMotion Hosting Blog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'Generalist vs. Niche Agency: Which Model Grows Faster'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Balanced but shallow; no actionable steps or case study proof</w:t>
            </w:r>
          </w:p>
        </w:tc>
      </w:tr>
      <w:tr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Seven Figure Agency Blog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Agency niching and growth framework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Strong case studies but vendor-biased; no financial benchmarks from independent reports</w:t>
            </w:r>
          </w:p>
        </w:tc>
      </w:tr>
    </w:tbl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Content Gap &amp; SocialPilot Angle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Content Gap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No single piece combines: (a) independent financial benchmarks from Promethean Research, Predictable Profits, and Agency Analytics, (b) named case studies with specific revenue figures (Rankings.io, Seven Figure Agency's plumbing/HVAC agency), (c) expert quotes from Blair Enns, Karl Sakas, Corey Quinn, Jason Swenk, and David C. Baker, AND (d) a practical 3-step niche-selection and validation framework — in one article.</w:t>
            </w:r>
          </w:p>
        </w:tc>
      </w:tr>
      <w:tr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Opportunity</w:t>
            </w:r>
          </w:p>
        </w:tc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SocialPilot can own the definitive data-backed guide to agency niching. The 84% specialist statistic (Promethean 2025) is a powerful hook: niching is no longer a growth hack — it's the new baseline, and the 16% still operating as generalists are being left behind.</w:t>
            </w:r>
          </w:p>
        </w:tc>
      </w:tr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Our Angle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Lead with the paradigm shift (84% now specialists), build the financial case with hard benchmarks, validate with named case studies, give the practical framework, and close with niche-specific market sizing data. SocialPilot white-label positioned naturally as the infrastructure that enables scale.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5. LLM &amp; AI SEARCH CONSIDERATIONS</w:t>
            </w:r>
          </w:p>
        </w:tc>
      </w:tr>
    </w:tbl>
    <w:p/>
    <w:p>
      <w:pPr>
        <w:spacing w:before="0" w:after="0"/>
        <w:spacing w:before="0" w:after="60"/>
      </w:pPr>
      <w:r>
        <w:rPr>
          <w:rFonts w:ascii="Calibri" w:hAnsi="Calibri"/>
          <w:b w:val="0"/>
          <w:color w:val="141413"/>
          <w:sz w:val="18"/>
        </w:rPr>
        <w:t>Structure this article to be extractable by AI-assisted search (ChatGPT, Gemini, Perplexity) answering queries like 'are niche agencies more profitable?' or 'how to choose a niche for my social media agency?'</w:t>
      </w:r>
    </w:p>
    <w:p/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Use question-format H2s and H3s where possible (e.g. 'Why Do Niche Agencies Earn More?', 'How Do You Choose the Right Niche?')</w:t>
      </w:r>
    </w:p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Include data comparison tables: niche vs. generalist side-by-side across margin, retention, win rate, revenue per employee, and CAC</w:t>
      </w:r>
    </w:p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Provide quotable, attribution-ready sentences: e.g. 'According to Promethean Research's 2025 survey of 1,452 agency leaders, 84% now identify as specialists'</w:t>
      </w:r>
    </w:p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Include a concise FAQ section (5–6 Q&amp;A pairs) at the end for schema markup eligibility</w:t>
      </w:r>
    </w:p>
    <w:p>
      <w:pPr>
        <w:spacing w:before="0" w:after="0"/>
        <w:spacing w:before="0" w:after="60"/>
        <w:ind w:left="240" w:hanging="240"/>
        <w:numPr>
          <w:ilvl w:val="0"/>
          <w:numId w:val="1"/>
        </w:numPr>
      </w:pPr>
      <w:r>
        <w:rPr>
          <w:rFonts w:ascii="Calibri" w:hAnsi="Calibri"/>
          <w:color w:val="141413"/>
          <w:sz w:val="18"/>
        </w:rPr>
        <w:t>Define key terms inline: vertical specialisation, service specialisation, category of one, agency of record (AOR)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6. KEY REQUIREMENTS &amp; MANDATORY INCLUSIONS</w:t>
            </w:r>
          </w:p>
        </w:tc>
      </w:tr>
    </w:tbl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REQ 1: The 84% Paradigm Shift Statistic — Lead With It</w:t>
      </w:r>
    </w:p>
    <w:p>
      <w:pPr>
        <w:spacing w:before="0" w:after="0"/>
        <w:spacing w:before="0" w:after="60"/>
      </w:pPr>
      <w:r>
        <w:rPr>
          <w:rFonts w:ascii="Calibri" w:hAnsi="Calibri"/>
          <w:b w:val="0"/>
          <w:color w:val="141413"/>
          <w:sz w:val="18"/>
        </w:rPr>
        <w:t>Promethean Research's 2025 survey of 1,452 agency leaders found that 84% now identify as specialists. This is the hook. Frame it as: niching is no longer a growth tactic — it's the new baseline. The 16% still operating as generalists are competing against a market that has already moved.</w:t>
      </w:r>
    </w:p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REQ 2: Niche vs. Generalist Benchmark Comparison Table</w:t>
      </w:r>
    </w:p>
    <w:p>
      <w:pPr>
        <w:spacing w:before="0" w:after="0"/>
        <w:spacing w:before="0" w:after="60"/>
      </w:pPr>
      <w:r>
        <w:rPr>
          <w:rFonts w:ascii="Calibri" w:hAnsi="Calibri"/>
          <w:b w:val="0"/>
          <w:color w:val="141413"/>
          <w:sz w:val="18"/>
        </w:rPr>
        <w:t>Include a side-by-side table across: Gross Margin (niche: 40–75%; generalist: ~20%), Net Profit Margin (specialists: 25–40%; generalists: 15–20%), Annual Client Retention (8-figure niche agencies: 92%; 7-figure generalists: 78%), Client Annual Churn (niche: 15–20%; generalist: 25–35%), Proposal Close Rate (niche: 40–55%; generalist: 25–30%), Revenue per Employee (specialist target: $250K+; generalist target: $180K+). Sources: Promethean Research 2025, Predictable Profits 2025, Agency Analytics 2024, Phantom Leads AI 2025.</w:t>
      </w:r>
    </w:p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REQ 3: The Service Reduction Finding (Promethean 2025)</w:t>
      </w:r>
    </w:p>
    <w:p>
      <w:pPr>
        <w:spacing w:before="0" w:after="0"/>
        <w:spacing w:before="0" w:after="60"/>
      </w:pPr>
      <w:r>
        <w:rPr>
          <w:rFonts w:ascii="Calibri" w:hAnsi="Calibri"/>
          <w:b w:val="0"/>
          <w:color w:val="141413"/>
          <w:sz w:val="18"/>
        </w:rPr>
        <w:t>Agencies that REDUCED their service mix in 2025 posted 30% net margins vs. 10% for agencies that expanded services. Additionally, agencies making NO changes grew only 1.1% in 2024, vs. 8–9.7% for those that repositioned or refocused. Cite Promethean Research 2025 Digital Agency Industry Report (1,452 leaders surveyed).</w:t>
      </w:r>
    </w:p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REQ 4: Rankings.io Case Study — Full Story</w:t>
      </w:r>
    </w:p>
    <w:p>
      <w:pPr>
        <w:spacing w:before="0" w:after="0"/>
        <w:spacing w:before="0" w:after="60"/>
      </w:pPr>
      <w:r>
        <w:rPr>
          <w:rFonts w:ascii="Calibri" w:hAnsi="Calibri"/>
          <w:b w:val="0"/>
          <w:color w:val="141413"/>
          <w:sz w:val="18"/>
        </w:rPr>
        <w:t>Chris Dreyer founded Rankings.io as a generalist law firm SEO agency. After coaching from Karl Sakas, he doubled down on personal injury law — which already represented ~66% of gross revenue. Result: grew from $2M to $12M in 4 years (6X), then to $30M (15X). Now 7 consecutive years on the Inc 5000 list. Raised minimum pricing 5X. Source: Sakas &amp; Company case study + Starter Story interview.</w:t>
      </w:r>
    </w:p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REQ 5: Seven Figure Agency Case Study — Plumbing/HVAC Agency</w:t>
      </w:r>
    </w:p>
    <w:p>
      <w:pPr>
        <w:spacing w:before="0" w:after="0"/>
        <w:spacing w:before="0" w:after="60"/>
      </w:pPr>
      <w:r>
        <w:rPr>
          <w:rFonts w:ascii="Calibri" w:hAnsi="Calibri"/>
          <w:b w:val="0"/>
          <w:color w:val="141413"/>
          <w:sz w:val="18"/>
        </w:rPr>
        <w:t>An agency featured by Seven Figure Agency billed $425,000/month ($5.1M/year) by focusing exclusively on plumbing and HVAC companies — after previously serving 'everyone from lawyers to restaurants.' Hit seven figures within two years of niching. Source: Seven Figure Agency (who has tracked 133 agencies reaching $1M+ revenue — all had a defined niche).</w:t>
      </w:r>
    </w:p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REQ 6: Expert Voices — Named, Attributed, Specific</w:t>
      </w:r>
    </w:p>
    <w:p>
      <w:pPr>
        <w:spacing w:before="0" w:after="0"/>
        <w:spacing w:before="0" w:after="60"/>
      </w:pPr>
      <w:r>
        <w:rPr>
          <w:rFonts w:ascii="Calibri" w:hAnsi="Calibri"/>
          <w:b w:val="0"/>
          <w:color w:val="141413"/>
          <w:sz w:val="18"/>
        </w:rPr>
        <w:t>REQUIRED quotes/positions from: (1) Blair Enns (Win Without Pitching): specialisation's three core benefits — sales advantage, pricing premium, client power; goal is to reduce or eliminate competition. (2) Karl Sakas: specialist agencies target $250K+ revenue/employee; Goldilocks market size = 2,000–10,000 prospects, 10–200 competitors. (3) David C. Baker: vertically-oriented firms are usually the Agency of Record relationship driver, so they get paid the most; expertise is not invented but emerges from what you've already done. (4) Corey Quinn: scaled Scorpion from $20M to $150M on deep specialisation; clients using his Focus Finder framework grow 93% faster. (5) Jason Swenk: review your most profitable clients quarterly, identify patterns, focus marketing on similar prospects; charge more so you can afford the right people.</w:t>
      </w:r>
    </w:p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REQ 7: Niche-Specific Pricing Table by Vertical</w:t>
      </w:r>
    </w:p>
    <w:p>
      <w:pPr>
        <w:spacing w:before="0" w:after="0"/>
        <w:spacing w:before="0" w:after="60"/>
      </w:pPr>
      <w:r>
        <w:rPr>
          <w:rFonts w:ascii="Calibri" w:hAnsi="Calibri"/>
          <w:b w:val="0"/>
          <w:color w:val="141413"/>
          <w:sz w:val="18"/>
        </w:rPr>
        <w:t>Include a verified pricing table: Healthcare ($3K–$15K/month; HIPAA compliance premium); Legal/Personal Injury ($12K–$25K+/month retainer + $5K–$50K ad spend); B2B SaaS by stage (Seed: $3K–$8K; Series A: $8K–$15K; Series B+: $15K–$75K+/month); E-commerce/DTC (performance-focused; $5K–$20K+/month); Restaurant/Hospitality ($1.5K–$7K+/month; more commoditised); Real Estate ($500–$3K/month; lower-margin vertical). Source: Clutch, Healthcare Success, CreeksideMarketing, GrowthSpree.</w:t>
      </w:r>
    </w:p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REQ 8: Niche Selection Framework (3-Part + Validation Step)</w:t>
      </w:r>
    </w:p>
    <w:p>
      <w:pPr>
        <w:spacing w:before="0" w:after="0"/>
        <w:spacing w:before="0" w:after="60"/>
      </w:pPr>
      <w:r>
        <w:rPr>
          <w:rFonts w:ascii="Calibri" w:hAnsi="Calibri"/>
          <w:b w:val="0"/>
          <w:color w:val="141413"/>
          <w:sz w:val="18"/>
        </w:rPr>
        <w:t>Framework: Expertise × Market Demand × Passion. All three required. Expertise: look at your 3–5 most profitable clients — what do they have in common? That's your starting point. Market Demand: Karl Sakas' Goldilocks rule — 2,000–10,000 prospects, 10–200 competitors. Passion: a motivated generalist outperforms a burned-out specialist. Quote David C. Baker: expertise emerges from what you've already done. Validation step: narrow your pipeline quietly for 90 days, sharpen case studies to spotlight target vertical, test new positioning before full commitment.</w:t>
      </w:r>
    </w:p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REQ 9: Risks Section — Honest and Balanced</w:t>
      </w:r>
    </w:p>
    <w:p>
      <w:pPr>
        <w:spacing w:before="0" w:after="0"/>
        <w:spacing w:before="0" w:after="60"/>
      </w:pPr>
      <w:r>
        <w:rPr>
          <w:rFonts w:ascii="Calibri" w:hAnsi="Calibri"/>
          <w:b w:val="0"/>
          <w:color w:val="141413"/>
          <w:sz w:val="18"/>
        </w:rPr>
        <w:t>Cover: market concentration risk (single-vertical dependency if industry contracts); recession vulnerability (hospitality in 2020 as example); scaling constraints if niche is too narrow. When NOT to niche: insufficient portfolio in target vertical, very small local market, personal burnout risk. Mitigation: choose verticals with regulatory complexity (HIPAA, legal compliance) as natural barriers to competition; validate market depth (2,000+ prospects) before committing.</w:t>
      </w:r>
    </w:p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REQ 10: SocialPilot White-Label as Operational Enabler</w:t>
      </w:r>
    </w:p>
    <w:p>
      <w:pPr>
        <w:spacing w:before="0" w:after="0"/>
        <w:spacing w:before="0" w:after="60"/>
      </w:pPr>
      <w:r>
        <w:rPr>
          <w:rFonts w:ascii="Calibri" w:hAnsi="Calibri"/>
          <w:b w:val="0"/>
          <w:color w:val="141413"/>
          <w:sz w:val="18"/>
        </w:rPr>
        <w:t>Tie in naturally: niche agencies need to deliver consistently and efficiently across multiple clients in the same vertical. SocialPilot's white-label platform (branded dashboards, automated reporting, multi-account management) enables niche agencies to systemise delivery without building proprietary tech. Reference the Elevation Brands case study: used SocialPilot's white-label and scheduling to scale client volume and substantially increase profit margins. Keep it editorial, not promotional.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7. CITABLE CLAIMS (Use Verbatim or Closely Paraphrased)</w:t>
            </w:r>
          </w:p>
        </w:tc>
      </w:tr>
    </w:tbl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Claim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Claim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84% of digital agencies now identify as specialists — signalling that generalist positioning is no longer a viable default in 2025.</w:t>
            </w:r>
          </w:p>
        </w:tc>
      </w:tr>
      <w:tr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Source</w:t>
            </w:r>
          </w:p>
        </w:tc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Promethean Research 2025 Digital Agency Industry Report (1,452 agency leaders surveyed)</w:t>
            </w:r>
          </w:p>
        </w:tc>
      </w:tr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URL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https://prometheanresearch.com/2025-digital-agency-industry-report/</w:t>
            </w:r>
          </w:p>
        </w:tc>
      </w:tr>
    </w:tbl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Claim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Claim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Agencies that reduced their service offerings in 2025 averaged 30% net profit margins, compared to just 10% for agencies that expanded their service mix — and agencies making no changes at all grew only 1.1%.</w:t>
            </w:r>
          </w:p>
        </w:tc>
      </w:tr>
      <w:tr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Source</w:t>
            </w:r>
          </w:p>
        </w:tc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Promethean Research 2025 Digital Agency Industry Report</w:t>
            </w:r>
          </w:p>
        </w:tc>
      </w:tr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URL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https://prometheanresearch.com/2025-digital-agency-industry-report/</w:t>
            </w:r>
          </w:p>
        </w:tc>
      </w:tr>
    </w:tbl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Claim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Claim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Niche agencies close 40% more proposals, charge 2–3x more than generalists, and grow 3x faster in their first three years.</w:t>
            </w:r>
          </w:p>
        </w:tc>
      </w:tr>
      <w:tr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Source</w:t>
            </w:r>
          </w:p>
        </w:tc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Phantom Leads AI — Should Your Agency Niche Down? The Data Says Yes (2025)</w:t>
            </w:r>
          </w:p>
        </w:tc>
      </w:tr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URL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https://phantomleads.ai/blog/niche-down-or-stay-general</w:t>
            </w:r>
          </w:p>
        </w:tc>
      </w:tr>
    </w:tbl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Claim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Claim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Top-performing 8-figure agencies retain 92% of clients annually and earn 25–32% net profit margins — compared to 78% retention and 18–22% margins for 7-figure agencies.</w:t>
            </w:r>
          </w:p>
        </w:tc>
      </w:tr>
      <w:tr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Source</w:t>
            </w:r>
          </w:p>
        </w:tc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Predictable Profits 2025 Agency Growth Benchmark (300+ agencies surveyed)</w:t>
            </w:r>
          </w:p>
        </w:tc>
      </w:tr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URL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https://predictableprofits.com/2025-agency-growth-benchmark-key-metrics-from-300-7-8-figure-agencies/</w:t>
            </w:r>
          </w:p>
        </w:tc>
      </w:tr>
    </w:tbl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Claim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Claim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Rankings.io grew from $2 million to $12 million in four years — and subsequently to $30 million — after committing to personal injury law as its sole niche, earning seven consecutive years on the Inc 5000 list.</w:t>
            </w:r>
          </w:p>
        </w:tc>
      </w:tr>
      <w:tr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Source</w:t>
            </w:r>
          </w:p>
        </w:tc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Sakas &amp; Company Case Study — Rankings.io; Starter Story</w:t>
            </w:r>
          </w:p>
        </w:tc>
      </w:tr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URL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https://sakasandcompany.com/case-studies/rankings-io-agency-growth/</w:t>
            </w:r>
          </w:p>
        </w:tc>
      </w:tr>
    </w:tbl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Claim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Claim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Of 133 digital marketing agencies that reached seven-figure revenue tracked by Seven Figure Agency, every single one had a defined niche. One agency billing $425,000/month focused exclusively on plumbing and HVAC companies — after previously serving everyone from lawyers to restaurants.</w:t>
            </w:r>
          </w:p>
        </w:tc>
      </w:tr>
      <w:tr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Source</w:t>
            </w:r>
          </w:p>
        </w:tc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Seven Figure Agency — Agency Niche Growth Framework (2025)</w:t>
            </w:r>
          </w:p>
        </w:tc>
      </w:tr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URL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https://sevenfigureagency.com/niche-agency-growth/</w:t>
            </w:r>
          </w:p>
        </w:tc>
      </w:tr>
    </w:tbl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Claim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Claim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Specialist agencies should target $250,000+ in revenue per employee, versus $180,000+ for generalist agencies — a 40% productivity gap driven by higher billing rates and operational efficiency.</w:t>
            </w:r>
          </w:p>
        </w:tc>
      </w:tr>
      <w:tr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Source</w:t>
            </w:r>
          </w:p>
        </w:tc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Karl Sakas / Sakas &amp; Company — Agency Specialization Research; confirmed by Promethean Research 2025</w:t>
            </w:r>
          </w:p>
        </w:tc>
      </w:tr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URL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https://sakasandcompany.com/agency-specialization/</w:t>
            </w:r>
          </w:p>
        </w:tc>
      </w:tr>
    </w:tbl>
    <w:p/>
    <w:p>
      <w:pPr>
        <w:spacing w:before="0" w:after="0"/>
        <w:spacing w:before="120" w:after="60"/>
      </w:pPr>
      <w:r>
        <w:rPr>
          <w:rFonts w:ascii="Calibri" w:hAnsi="Calibri"/>
          <w:b/>
          <w:color w:val="3D3D3A"/>
          <w:sz w:val="20"/>
        </w:rPr>
        <w:t>Claim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Claim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Average agency-client tenure has more than doubled since 2016 — from 3.2 years to approximately 7 years — reflecting the compounding retention advantage of agencies that develop deep client relationships through specialisation.</w:t>
            </w:r>
          </w:p>
        </w:tc>
      </w:tr>
      <w:tr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Source</w:t>
            </w:r>
          </w:p>
        </w:tc>
        <w:tc>
          <w:tcPr>
            <w:tcW w:type="dxa" w:w="4896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ANA/4As 2025 Study (as cited in Focus Digital Agency Churn Report)</w:t>
            </w:r>
          </w:p>
        </w:tc>
      </w:tr>
      <w:tr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D3D3A"/>
                <w:sz w:val="18"/>
              </w:rPr>
              <w:t>URL</w:t>
            </w:r>
          </w:p>
        </w:tc>
        <w:tc>
          <w:tcPr>
            <w:tcW w:type="dxa" w:w="4896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https://focus-digital.co/average-marketing-agency-churn/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8. PAIN POINT ANALYSIS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Pain Point</w:t>
            </w:r>
          </w:p>
        </w:tc>
        <w:tc>
          <w:tcPr>
            <w:tcW w:type="dxa" w:w="3264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What They Feel</w:t>
            </w:r>
          </w:p>
        </w:tc>
        <w:tc>
          <w:tcPr>
            <w:tcW w:type="dxa" w:w="3264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What They Need</w:t>
            </w:r>
          </w:p>
        </w:tc>
      </w:tr>
      <w:tr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Racing to the bottom on price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Constantly losing bids to specialist agencies that charge more but win because the prospect trusts their vertical expertise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Hard data showing exactly how much more specialists charge — and why clients pay it willingly</w:t>
            </w:r>
          </w:p>
        </w:tc>
      </w:tr>
      <w:tr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Unpredictable pipeline and low close rates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Marketing to everyone means no clear ICP; proposals feel generic; close rates hover around 25–30%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Proof that niche agencies close 40–55% of proposals through faster trust-building and relevant case studies</w:t>
            </w:r>
          </w:p>
        </w:tc>
      </w:tr>
      <w:tr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Operational chaos with each new client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Every client feels like starting from scratch; no reusable systems; team constantly context-switching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Evidence that vertical focus enables reusable SOPs, faster onboarding, and higher utilisation — directly lifting margins</w:t>
            </w:r>
          </w:p>
        </w:tc>
      </w:tr>
      <w:tr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Fear of leaving money on the table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Saying no to clients outside the niche feels like burning cash, especially in slow months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The math: higher rates + lower CAC + better retention = more revenue than a full generalist pipeline</w:t>
            </w:r>
          </w:p>
        </w:tc>
      </w:tr>
      <w:tr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Not knowing which niche to pick — and being stuck with it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Overwhelmed by choices; worried about picking the wrong vertical and being trapped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A low-risk validation framework: test quietly for 90 days before full commitment; expertise already exists in your client history</w:t>
            </w:r>
          </w:p>
        </w:tc>
      </w:tr>
      <w:tr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Losing to bigger agencies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Full-service agencies with 200 staff, established brands, and big portfolios seem unbeatable in pitches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Data showing specialists consistently outperform generalists in niche-specific RFPs — even against much larger competitors — because they speak the prospect's language from the first call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9. KEY STATS FOR WRITER</w:t>
            </w:r>
          </w:p>
        </w:tc>
      </w:tr>
    </w:tbl>
    <w:p/>
    <w:p>
      <w:pPr>
        <w:spacing w:before="0" w:after="0"/>
        <w:spacing w:before="0" w:after="80"/>
        <w:ind w:left="240" w:hanging="240"/>
      </w:pPr>
      <w:r>
        <w:rPr>
          <w:rFonts w:ascii="Calibri" w:hAnsi="Calibri"/>
          <w:color w:val="1A56DB"/>
          <w:sz w:val="18"/>
        </w:rPr>
        <w:t xml:space="preserve">▸  </w:t>
      </w:r>
      <w:r>
        <w:rPr>
          <w:rFonts w:ascii="Calibri" w:hAnsi="Calibri"/>
          <w:b/>
          <w:color w:val="141413"/>
          <w:sz w:val="18"/>
        </w:rPr>
        <w:t xml:space="preserve">84% of digital agencies now identify as specialists — up from a minority position a decade ago. </w:t>
      </w:r>
      <w:r>
        <w:rPr>
          <w:rFonts w:ascii="Calibri" w:hAnsi="Calibri"/>
          <w:i/>
          <w:color w:val="3D3D3A"/>
          <w:sz w:val="17"/>
        </w:rPr>
        <w:t>(Promethean Research 2025 (1,452 agency leaders surveyed))</w:t>
      </w:r>
    </w:p>
    <w:p>
      <w:pPr>
        <w:spacing w:before="0" w:after="0"/>
        <w:spacing w:before="0" w:after="80"/>
        <w:ind w:left="240" w:hanging="240"/>
      </w:pPr>
      <w:r>
        <w:rPr>
          <w:rFonts w:ascii="Calibri" w:hAnsi="Calibri"/>
          <w:color w:val="1A56DB"/>
          <w:sz w:val="18"/>
        </w:rPr>
        <w:t xml:space="preserve">▸  </w:t>
      </w:r>
      <w:r>
        <w:rPr>
          <w:rFonts w:ascii="Calibri" w:hAnsi="Calibri"/>
          <w:b/>
          <w:color w:val="141413"/>
          <w:sz w:val="18"/>
        </w:rPr>
        <w:t xml:space="preserve">Agencies that reduced services in 2025 averaged 30% net margins vs. 10% for those that expanded; agencies making no changes grew only 1.1%. </w:t>
      </w:r>
      <w:r>
        <w:rPr>
          <w:rFonts w:ascii="Calibri" w:hAnsi="Calibri"/>
          <w:i/>
          <w:color w:val="3D3D3A"/>
          <w:sz w:val="17"/>
        </w:rPr>
        <w:t>(Promethean Research 2025 Digital Agency Industry Report)</w:t>
      </w:r>
    </w:p>
    <w:p>
      <w:pPr>
        <w:spacing w:before="0" w:after="0"/>
        <w:spacing w:before="0" w:after="80"/>
        <w:ind w:left="240" w:hanging="240"/>
      </w:pPr>
      <w:r>
        <w:rPr>
          <w:rFonts w:ascii="Calibri" w:hAnsi="Calibri"/>
          <w:color w:val="1A56DB"/>
          <w:sz w:val="18"/>
        </w:rPr>
        <w:t xml:space="preserve">▸  </w:t>
      </w:r>
      <w:r>
        <w:rPr>
          <w:rFonts w:ascii="Calibri" w:hAnsi="Calibri"/>
          <w:b/>
          <w:color w:val="141413"/>
          <w:sz w:val="18"/>
        </w:rPr>
        <w:t xml:space="preserve">Specialist agencies: 25–40% profit margins. Generalist agencies: 15–20% profit margins. </w:t>
      </w:r>
      <w:r>
        <w:rPr>
          <w:rFonts w:ascii="Calibri" w:hAnsi="Calibri"/>
          <w:i/>
          <w:color w:val="3D3D3A"/>
          <w:sz w:val="17"/>
        </w:rPr>
        <w:t>(Swydo Agency Benchmarks / Agency Analytics 2024)</w:t>
      </w:r>
    </w:p>
    <w:p>
      <w:pPr>
        <w:spacing w:before="0" w:after="0"/>
        <w:spacing w:before="0" w:after="80"/>
        <w:ind w:left="240" w:hanging="240"/>
      </w:pPr>
      <w:r>
        <w:rPr>
          <w:rFonts w:ascii="Calibri" w:hAnsi="Calibri"/>
          <w:color w:val="1A56DB"/>
          <w:sz w:val="18"/>
        </w:rPr>
        <w:t xml:space="preserve">▸  </w:t>
      </w:r>
      <w:r>
        <w:rPr>
          <w:rFonts w:ascii="Calibri" w:hAnsi="Calibri"/>
          <w:b/>
          <w:color w:val="141413"/>
          <w:sz w:val="18"/>
        </w:rPr>
        <w:t xml:space="preserve">Niche agencies close 40% more proposals, charge 2–3x more, and grow 3x faster in their first 3 years. </w:t>
      </w:r>
      <w:r>
        <w:rPr>
          <w:rFonts w:ascii="Calibri" w:hAnsi="Calibri"/>
          <w:i/>
          <w:color w:val="3D3D3A"/>
          <w:sz w:val="17"/>
        </w:rPr>
        <w:t>(Phantom Leads AI 2025)</w:t>
      </w:r>
    </w:p>
    <w:p>
      <w:pPr>
        <w:spacing w:before="0" w:after="0"/>
        <w:spacing w:before="0" w:after="80"/>
        <w:ind w:left="240" w:hanging="240"/>
      </w:pPr>
      <w:r>
        <w:rPr>
          <w:rFonts w:ascii="Calibri" w:hAnsi="Calibri"/>
          <w:color w:val="1A56DB"/>
          <w:sz w:val="18"/>
        </w:rPr>
        <w:t xml:space="preserve">▸  </w:t>
      </w:r>
      <w:r>
        <w:rPr>
          <w:rFonts w:ascii="Calibri" w:hAnsi="Calibri"/>
          <w:b/>
          <w:color w:val="141413"/>
          <w:sz w:val="18"/>
        </w:rPr>
        <w:t xml:space="preserve">8-figure agencies retain 92% of clients annually vs. 78% for 7-figure agencies. </w:t>
      </w:r>
      <w:r>
        <w:rPr>
          <w:rFonts w:ascii="Calibri" w:hAnsi="Calibri"/>
          <w:i/>
          <w:color w:val="3D3D3A"/>
          <w:sz w:val="17"/>
        </w:rPr>
        <w:t>(Predictable Profits 2025 (300+ agencies))</w:t>
      </w:r>
    </w:p>
    <w:p>
      <w:pPr>
        <w:spacing w:before="0" w:after="0"/>
        <w:spacing w:before="0" w:after="80"/>
        <w:ind w:left="240" w:hanging="240"/>
      </w:pPr>
      <w:r>
        <w:rPr>
          <w:rFonts w:ascii="Calibri" w:hAnsi="Calibri"/>
          <w:color w:val="1A56DB"/>
          <w:sz w:val="18"/>
        </w:rPr>
        <w:t xml:space="preserve">▸  </w:t>
      </w:r>
      <w:r>
        <w:rPr>
          <w:rFonts w:ascii="Calibri" w:hAnsi="Calibri"/>
          <w:b/>
          <w:color w:val="141413"/>
          <w:sz w:val="18"/>
        </w:rPr>
        <w:t xml:space="preserve">Niche client annual churn: 15–20%. Generalist client annual churn: 25–35%. </w:t>
      </w:r>
      <w:r>
        <w:rPr>
          <w:rFonts w:ascii="Calibri" w:hAnsi="Calibri"/>
          <w:i/>
          <w:color w:val="3D3D3A"/>
          <w:sz w:val="17"/>
        </w:rPr>
        <w:t>(Phantom Leads AI / Focus Digital Agency Churn Report 2025)</w:t>
      </w:r>
    </w:p>
    <w:p>
      <w:pPr>
        <w:spacing w:before="0" w:after="0"/>
        <w:spacing w:before="0" w:after="80"/>
        <w:ind w:left="240" w:hanging="240"/>
      </w:pPr>
      <w:r>
        <w:rPr>
          <w:rFonts w:ascii="Calibri" w:hAnsi="Calibri"/>
          <w:color w:val="1A56DB"/>
          <w:sz w:val="18"/>
        </w:rPr>
        <w:t xml:space="preserve">▸  </w:t>
      </w:r>
      <w:r>
        <w:rPr>
          <w:rFonts w:ascii="Calibri" w:hAnsi="Calibri"/>
          <w:b/>
          <w:color w:val="141413"/>
          <w:sz w:val="18"/>
        </w:rPr>
        <w:t xml:space="preserve">Average agency-client tenure has doubled since 2016 — from 3.2 years to ~7 years. </w:t>
      </w:r>
      <w:r>
        <w:rPr>
          <w:rFonts w:ascii="Calibri" w:hAnsi="Calibri"/>
          <w:i/>
          <w:color w:val="3D3D3A"/>
          <w:sz w:val="17"/>
        </w:rPr>
        <w:t>(ANA/4As 2025 Study)</w:t>
      </w:r>
    </w:p>
    <w:p>
      <w:pPr>
        <w:spacing w:before="0" w:after="0"/>
        <w:spacing w:before="0" w:after="80"/>
        <w:ind w:left="240" w:hanging="240"/>
      </w:pPr>
      <w:r>
        <w:rPr>
          <w:rFonts w:ascii="Calibri" w:hAnsi="Calibri"/>
          <w:color w:val="1A56DB"/>
          <w:sz w:val="18"/>
        </w:rPr>
        <w:t xml:space="preserve">▸  </w:t>
      </w:r>
      <w:r>
        <w:rPr>
          <w:rFonts w:ascii="Calibri" w:hAnsi="Calibri"/>
          <w:b/>
          <w:color w:val="141413"/>
          <w:sz w:val="18"/>
        </w:rPr>
        <w:t xml:space="preserve">Specialist agencies target $250K+ revenue per employee vs. $180K+ for generalists — a 40% gap. </w:t>
      </w:r>
      <w:r>
        <w:rPr>
          <w:rFonts w:ascii="Calibri" w:hAnsi="Calibri"/>
          <w:i/>
          <w:color w:val="3D3D3A"/>
          <w:sz w:val="17"/>
        </w:rPr>
        <w:t>(Karl Sakas / Sakas &amp; Company; Promethean Research 2025)</w:t>
      </w:r>
    </w:p>
    <w:p>
      <w:pPr>
        <w:spacing w:before="0" w:after="0"/>
        <w:spacing w:before="0" w:after="80"/>
        <w:ind w:left="240" w:hanging="240"/>
      </w:pPr>
      <w:r>
        <w:rPr>
          <w:rFonts w:ascii="Calibri" w:hAnsi="Calibri"/>
          <w:color w:val="1A56DB"/>
          <w:sz w:val="18"/>
        </w:rPr>
        <w:t xml:space="preserve">▸  </w:t>
      </w:r>
      <w:r>
        <w:rPr>
          <w:rFonts w:ascii="Calibri" w:hAnsi="Calibri"/>
          <w:b/>
          <w:color w:val="141413"/>
          <w:sz w:val="18"/>
        </w:rPr>
        <w:t xml:space="preserve">Rankings.io: $2M → $12M (6X) → $30M (15X) by niching exclusively to personal injury law. 7 consecutive Inc 5000 appearances. </w:t>
      </w:r>
      <w:r>
        <w:rPr>
          <w:rFonts w:ascii="Calibri" w:hAnsi="Calibri"/>
          <w:i/>
          <w:color w:val="3D3D3A"/>
          <w:sz w:val="17"/>
        </w:rPr>
        <w:t>(Sakas &amp; Company Case Study; Starter Story)</w:t>
      </w:r>
    </w:p>
    <w:p>
      <w:pPr>
        <w:spacing w:before="0" w:after="0"/>
        <w:spacing w:before="0" w:after="80"/>
        <w:ind w:left="240" w:hanging="240"/>
      </w:pPr>
      <w:r>
        <w:rPr>
          <w:rFonts w:ascii="Calibri" w:hAnsi="Calibri"/>
          <w:color w:val="1A56DB"/>
          <w:sz w:val="18"/>
        </w:rPr>
        <w:t xml:space="preserve">▸  </w:t>
      </w:r>
      <w:r>
        <w:rPr>
          <w:rFonts w:ascii="Calibri" w:hAnsi="Calibri"/>
          <w:b/>
          <w:color w:val="141413"/>
          <w:sz w:val="18"/>
        </w:rPr>
        <w:t xml:space="preserve">133 agencies tracked by Seven Figure Agency all had a niche. One plumbing/HVAC-only agency bills $425K/month. </w:t>
      </w:r>
      <w:r>
        <w:rPr>
          <w:rFonts w:ascii="Calibri" w:hAnsi="Calibri"/>
          <w:i/>
          <w:color w:val="3D3D3A"/>
          <w:sz w:val="17"/>
        </w:rPr>
        <w:t>(Seven Figure Agency 2025)</w:t>
      </w:r>
    </w:p>
    <w:p>
      <w:pPr>
        <w:spacing w:before="0" w:after="0"/>
        <w:spacing w:before="0" w:after="80"/>
        <w:ind w:left="240" w:hanging="240"/>
      </w:pPr>
      <w:r>
        <w:rPr>
          <w:rFonts w:ascii="Calibri" w:hAnsi="Calibri"/>
          <w:color w:val="1A56DB"/>
          <w:sz w:val="18"/>
        </w:rPr>
        <w:t xml:space="preserve">▸  </w:t>
      </w:r>
      <w:r>
        <w:rPr>
          <w:rFonts w:ascii="Calibri" w:hAnsi="Calibri"/>
          <w:b/>
          <w:color w:val="141413"/>
          <w:sz w:val="18"/>
        </w:rPr>
        <w:t xml:space="preserve">Corey Quinn scaled Scorpion from $20M to $150M on deep specialisation. Clients using his framework grow 93% faster than generalists. </w:t>
      </w:r>
      <w:r>
        <w:rPr>
          <w:rFonts w:ascii="Calibri" w:hAnsi="Calibri"/>
          <w:i/>
          <w:color w:val="3D3D3A"/>
          <w:sz w:val="17"/>
        </w:rPr>
        <w:t>(Corey Quinn / coreyquinn.com 2025)</w:t>
      </w:r>
    </w:p>
    <w:p>
      <w:pPr>
        <w:spacing w:before="0" w:after="0"/>
        <w:spacing w:before="0" w:after="80"/>
        <w:ind w:left="240" w:hanging="240"/>
      </w:pPr>
      <w:r>
        <w:rPr>
          <w:rFonts w:ascii="Calibri" w:hAnsi="Calibri"/>
          <w:color w:val="1A56DB"/>
          <w:sz w:val="18"/>
        </w:rPr>
        <w:t xml:space="preserve">▸  </w:t>
      </w:r>
      <w:r>
        <w:rPr>
          <w:rFonts w:ascii="Calibri" w:hAnsi="Calibri"/>
          <w:b/>
          <w:color w:val="141413"/>
          <w:sz w:val="18"/>
        </w:rPr>
        <w:t xml:space="preserve">Legal marketing specialist agencies charge $12K–$25K+/month for personal injury clients, plus $5K–$50K/month in ad spend management. </w:t>
      </w:r>
      <w:r>
        <w:rPr>
          <w:rFonts w:ascii="Calibri" w:hAnsi="Calibri"/>
          <w:i/>
          <w:color w:val="3D3D3A"/>
          <w:sz w:val="17"/>
        </w:rPr>
        <w:t>(CreeksideMarketing / Dashing Digital 2024–2025)</w:t>
      </w:r>
    </w:p>
    <w:p>
      <w:pPr>
        <w:spacing w:before="0" w:after="0"/>
        <w:spacing w:before="0" w:after="80"/>
        <w:ind w:left="240" w:hanging="240"/>
      </w:pPr>
      <w:r>
        <w:rPr>
          <w:rFonts w:ascii="Calibri" w:hAnsi="Calibri"/>
          <w:color w:val="1A56DB"/>
          <w:sz w:val="18"/>
        </w:rPr>
        <w:t xml:space="preserve">▸  </w:t>
      </w:r>
      <w:r>
        <w:rPr>
          <w:rFonts w:ascii="Calibri" w:hAnsi="Calibri"/>
          <w:b/>
          <w:color w:val="141413"/>
          <w:sz w:val="18"/>
        </w:rPr>
        <w:t xml:space="preserve">B2B SaaS agency retainers: $3K–$8K/month (seed stage), $8K–$15K/month (Series A), $15K–$75K+/month (Series B+). </w:t>
      </w:r>
      <w:r>
        <w:rPr>
          <w:rFonts w:ascii="Calibri" w:hAnsi="Calibri"/>
          <w:i/>
          <w:color w:val="3D3D3A"/>
          <w:sz w:val="17"/>
        </w:rPr>
        <w:t>(GrowthSpree / SaaSHero 2025–2026)</w:t>
      </w:r>
    </w:p>
    <w:p>
      <w:pPr>
        <w:spacing w:before="0" w:after="0"/>
        <w:spacing w:before="0" w:after="80"/>
        <w:ind w:left="240" w:hanging="240"/>
      </w:pPr>
      <w:r>
        <w:rPr>
          <w:rFonts w:ascii="Calibri" w:hAnsi="Calibri"/>
          <w:color w:val="1A56DB"/>
          <w:sz w:val="18"/>
        </w:rPr>
        <w:t xml:space="preserve">▸  </w:t>
      </w:r>
      <w:r>
        <w:rPr>
          <w:rFonts w:ascii="Calibri" w:hAnsi="Calibri"/>
          <w:b/>
          <w:color w:val="141413"/>
          <w:sz w:val="18"/>
        </w:rPr>
        <w:t xml:space="preserve">US healthcare digital marketing spend: $24.77 billion in 2025, growing 13.3% YoY. </w:t>
      </w:r>
      <w:r>
        <w:rPr>
          <w:rFonts w:ascii="Calibri" w:hAnsi="Calibri"/>
          <w:i/>
          <w:color w:val="3D3D3A"/>
          <w:sz w:val="17"/>
        </w:rPr>
        <w:t>(IMARC Group / Statista 2025)</w:t>
      </w:r>
    </w:p>
    <w:p>
      <w:pPr>
        <w:spacing w:before="0" w:after="0"/>
        <w:spacing w:before="0" w:after="80"/>
        <w:ind w:left="240" w:hanging="240"/>
      </w:pPr>
      <w:r>
        <w:rPr>
          <w:rFonts w:ascii="Calibri" w:hAnsi="Calibri"/>
          <w:color w:val="1A56DB"/>
          <w:sz w:val="18"/>
        </w:rPr>
        <w:t xml:space="preserve">▸  </w:t>
      </w:r>
      <w:r>
        <w:rPr>
          <w:rFonts w:ascii="Calibri" w:hAnsi="Calibri"/>
          <w:b/>
          <w:color w:val="141413"/>
          <w:sz w:val="18"/>
        </w:rPr>
        <w:t xml:space="preserve">US legal services advertising: $2.5+ billion across 26.9 million ads in 2024; most firms spend only 2–5% of revenue on marketing (under-invested). </w:t>
      </w:r>
      <w:r>
        <w:rPr>
          <w:rFonts w:ascii="Calibri" w:hAnsi="Calibri"/>
          <w:i/>
          <w:color w:val="3D3D3A"/>
          <w:sz w:val="17"/>
        </w:rPr>
        <w:t>(Hinge Marketing 2024 High Growth Study / LEXGRO 2026)</w:t>
      </w:r>
    </w:p>
    <w:p>
      <w:pPr>
        <w:spacing w:before="0" w:after="0"/>
        <w:spacing w:before="0" w:after="80"/>
        <w:ind w:left="240" w:hanging="240"/>
      </w:pPr>
      <w:r>
        <w:rPr>
          <w:rFonts w:ascii="Calibri" w:hAnsi="Calibri"/>
          <w:color w:val="1A56DB"/>
          <w:sz w:val="18"/>
        </w:rPr>
        <w:t xml:space="preserve">▸  </w:t>
      </w:r>
      <w:r>
        <w:rPr>
          <w:rFonts w:ascii="Calibri" w:hAnsi="Calibri"/>
          <w:b/>
          <w:color w:val="141413"/>
          <w:sz w:val="18"/>
        </w:rPr>
        <w:t xml:space="preserve">Global e-commerce ad spend: $271 billion projected for 2025; 74% of e-commerce companies increasing ad budgets. </w:t>
      </w:r>
      <w:r>
        <w:rPr>
          <w:rFonts w:ascii="Calibri" w:hAnsi="Calibri"/>
          <w:i/>
          <w:color w:val="3D3D3A"/>
          <w:sz w:val="17"/>
        </w:rPr>
        <w:t>(MarketingLTB / Venture Media 2025)</w:t>
      </w:r>
    </w:p>
    <w:p>
      <w:pPr>
        <w:spacing w:before="0" w:after="0"/>
        <w:spacing w:before="0" w:after="80"/>
        <w:ind w:left="240" w:hanging="240"/>
      </w:pPr>
      <w:r>
        <w:rPr>
          <w:rFonts w:ascii="Calibri" w:hAnsi="Calibri"/>
          <w:color w:val="1A56DB"/>
          <w:sz w:val="18"/>
        </w:rPr>
        <w:t xml:space="preserve">▸  </w:t>
      </w:r>
      <w:r>
        <w:rPr>
          <w:rFonts w:ascii="Calibri" w:hAnsi="Calibri"/>
          <w:b/>
          <w:color w:val="141413"/>
          <w:sz w:val="18"/>
        </w:rPr>
        <w:t xml:space="preserve">Only 22% of agencies raised their rates in 2024 — down from nearly half the prior year — reflecting the pricing pressure facing generalists who cannot justify premiums. </w:t>
      </w:r>
      <w:r>
        <w:rPr>
          <w:rFonts w:ascii="Calibri" w:hAnsi="Calibri"/>
          <w:i/>
          <w:color w:val="3D3D3A"/>
          <w:sz w:val="17"/>
        </w:rPr>
        <w:t>(Promethean Research 2025 Digital Agency Industry Report)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10. NICHE VERTICAL MARKET SNAPSHOT</w:t>
            </w:r>
          </w:p>
        </w:tc>
      </w:tr>
    </w:tbl>
    <w:p/>
    <w:p>
      <w:pPr>
        <w:spacing w:before="0" w:after="0"/>
        <w:spacing w:before="0" w:after="100"/>
      </w:pPr>
      <w:r>
        <w:rPr>
          <w:rFonts w:ascii="Calibri" w:hAnsi="Calibri"/>
          <w:b/>
          <w:color w:val="141413"/>
          <w:sz w:val="18"/>
        </w:rPr>
        <w:t>Use this table to help the writer frame each niche accurately. Do not rank these as 'best' — frame as a starting point for validation.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Vertical</w:t>
            </w:r>
          </w:p>
        </w:tc>
        <w:tc>
          <w:tcPr>
            <w:tcW w:type="dxa" w:w="1958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Typical Monthly Retainer</w:t>
            </w:r>
          </w:p>
        </w:tc>
        <w:tc>
          <w:tcPr>
            <w:tcW w:type="dxa" w:w="1958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Market Size / Spend (US)</w:t>
            </w:r>
          </w:p>
        </w:tc>
        <w:tc>
          <w:tcPr>
            <w:tcW w:type="dxa" w:w="1958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Key Barrier to Entry</w:t>
            </w:r>
          </w:p>
        </w:tc>
        <w:tc>
          <w:tcPr>
            <w:tcW w:type="dxa" w:w="1958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Notes for Writer</w:t>
            </w:r>
          </w:p>
        </w:tc>
      </w:tr>
      <w:tr>
        <w:tc>
          <w:tcPr>
            <w:tcW w:type="dxa" w:w="195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Healthcare / Medical</w:t>
            </w:r>
          </w:p>
        </w:tc>
        <w:tc>
          <w:tcPr>
            <w:tcW w:type="dxa" w:w="195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$3,000–$15,000/month</w:t>
            </w:r>
          </w:p>
        </w:tc>
        <w:tc>
          <w:tcPr>
            <w:tcW w:type="dxa" w:w="195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$24.77B digital spend (2025, +13.3% YoY)</w:t>
            </w:r>
          </w:p>
        </w:tc>
        <w:tc>
          <w:tcPr>
            <w:tcW w:type="dxa" w:w="195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HIPAA compliance knowledge</w:t>
            </w:r>
          </w:p>
        </w:tc>
        <w:tc>
          <w:tcPr>
            <w:tcW w:type="dxa" w:w="195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High moat, high retention — clients don't switch easily</w:t>
            </w:r>
          </w:p>
        </w:tc>
      </w:tr>
      <w:tr>
        <w:tc>
          <w:tcPr>
            <w:tcW w:type="dxa" w:w="19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Legal / Personal Injury</w:t>
            </w:r>
          </w:p>
        </w:tc>
        <w:tc>
          <w:tcPr>
            <w:tcW w:type="dxa" w:w="19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$12,000–$25,000+/month</w:t>
            </w:r>
          </w:p>
        </w:tc>
        <w:tc>
          <w:tcPr>
            <w:tcW w:type="dxa" w:w="19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$2.5B+ total legal ad spend (2024)</w:t>
            </w:r>
          </w:p>
        </w:tc>
        <w:tc>
          <w:tcPr>
            <w:tcW w:type="dxa" w:w="19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Legal marketing regulations, compliance</w:t>
            </w:r>
          </w:p>
        </w:tc>
        <w:tc>
          <w:tcPr>
            <w:tcW w:type="dxa" w:w="19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Rankings.io case study lives here — personal injury is peak-value sub-niche</w:t>
            </w:r>
          </w:p>
        </w:tc>
      </w:tr>
      <w:tr>
        <w:tc>
          <w:tcPr>
            <w:tcW w:type="dxa" w:w="195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B2B SaaS</w:t>
            </w:r>
          </w:p>
        </w:tc>
        <w:tc>
          <w:tcPr>
            <w:tcW w:type="dxa" w:w="195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$8,000–$75,000+/month (stage-based)</w:t>
            </w:r>
          </w:p>
        </w:tc>
        <w:tc>
          <w:tcPr>
            <w:tcW w:type="dxa" w:w="195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Rapid growth; AI/automation driving spend</w:t>
            </w:r>
          </w:p>
        </w:tc>
        <w:tc>
          <w:tcPr>
            <w:tcW w:type="dxa" w:w="195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Deep product &amp; funnel knowledge</w:t>
            </w:r>
          </w:p>
        </w:tc>
        <w:tc>
          <w:tcPr>
            <w:tcW w:type="dxa" w:w="195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Seed to Series B pricing ladder creates upsell path</w:t>
            </w:r>
          </w:p>
        </w:tc>
      </w:tr>
      <w:tr>
        <w:tc>
          <w:tcPr>
            <w:tcW w:type="dxa" w:w="19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E-commerce / DTC</w:t>
            </w:r>
          </w:p>
        </w:tc>
        <w:tc>
          <w:tcPr>
            <w:tcW w:type="dxa" w:w="19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$5,000–$20,000+/month</w:t>
            </w:r>
          </w:p>
        </w:tc>
        <w:tc>
          <w:tcPr>
            <w:tcW w:type="dxa" w:w="19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$271B global ecom ad spend (2025)</w:t>
            </w:r>
          </w:p>
        </w:tc>
        <w:tc>
          <w:tcPr>
            <w:tcW w:type="dxa" w:w="19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Attribution &amp; ROAS expertise</w:t>
            </w:r>
          </w:p>
        </w:tc>
        <w:tc>
          <w:tcPr>
            <w:tcW w:type="dxa" w:w="19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High spend but volatile; performance-linked pricing preferred</w:t>
            </w:r>
          </w:p>
        </w:tc>
      </w:tr>
      <w:tr>
        <w:tc>
          <w:tcPr>
            <w:tcW w:type="dxa" w:w="195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Restaurant / Hospitality</w:t>
            </w:r>
          </w:p>
        </w:tc>
        <w:tc>
          <w:tcPr>
            <w:tcW w:type="dxa" w:w="195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$1,500–$7,000+/month</w:t>
            </w:r>
          </w:p>
        </w:tc>
        <w:tc>
          <w:tcPr>
            <w:tcW w:type="dxa" w:w="195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63% of restaurants increasing digital spend</w:t>
            </w:r>
          </w:p>
        </w:tc>
        <w:tc>
          <w:tcPr>
            <w:tcW w:type="dxa" w:w="195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Visual content &amp; local SEO expertise</w:t>
            </w:r>
          </w:p>
        </w:tc>
        <w:tc>
          <w:tcPr>
            <w:tcW w:type="dxa" w:w="195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Competitive and price-sensitive — need volume or premium positioning</w:t>
            </w:r>
          </w:p>
        </w:tc>
      </w:tr>
      <w:tr>
        <w:tc>
          <w:tcPr>
            <w:tcW w:type="dxa" w:w="19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Real Estate</w:t>
            </w:r>
          </w:p>
        </w:tc>
        <w:tc>
          <w:tcPr>
            <w:tcW w:type="dxa" w:w="19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$500–$3,000/month</w:t>
            </w:r>
          </w:p>
        </w:tc>
        <w:tc>
          <w:tcPr>
            <w:tcW w:type="dxa" w:w="19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Moderate; seasonal spend patterns</w:t>
            </w:r>
          </w:p>
        </w:tc>
        <w:tc>
          <w:tcPr>
            <w:tcW w:type="dxa" w:w="19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Local market knowledge</w:t>
            </w:r>
          </w:p>
        </w:tc>
        <w:tc>
          <w:tcPr>
            <w:tcW w:type="dxa" w:w="19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Lower retainer floor — focus on volume or adjacent premium niches (luxury, commercial)</w:t>
            </w:r>
          </w:p>
        </w:tc>
      </w:tr>
      <w:tr>
        <w:tc>
          <w:tcPr>
            <w:tcW w:type="dxa" w:w="195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Fitness &amp; Wellness</w:t>
            </w:r>
          </w:p>
        </w:tc>
        <w:tc>
          <w:tcPr>
            <w:tcW w:type="dxa" w:w="195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$2,000–$8,000/month</w:t>
            </w:r>
          </w:p>
        </w:tc>
        <w:tc>
          <w:tcPr>
            <w:tcW w:type="dxa" w:w="195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$8.5T global wellness market</w:t>
            </w:r>
          </w:p>
        </w:tc>
        <w:tc>
          <w:tcPr>
            <w:tcW w:type="dxa" w:w="195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Community &amp; influencer expertise</w:t>
            </w:r>
          </w:p>
        </w:tc>
        <w:tc>
          <w:tcPr>
            <w:tcW w:type="dxa" w:w="1958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Strong content opportunities; high consumer engagement</w:t>
            </w:r>
          </w:p>
        </w:tc>
      </w:tr>
      <w:tr>
        <w:tc>
          <w:tcPr>
            <w:tcW w:type="dxa" w:w="19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Home Services (HVAC, Plumbing)</w:t>
            </w:r>
          </w:p>
        </w:tc>
        <w:tc>
          <w:tcPr>
            <w:tcW w:type="dxa" w:w="19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$2,000–$10,000/month</w:t>
            </w:r>
          </w:p>
        </w:tc>
        <w:tc>
          <w:tcPr>
            <w:tcW w:type="dxa" w:w="19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Fragmented, growing fast</w:t>
            </w:r>
          </w:p>
        </w:tc>
        <w:tc>
          <w:tcPr>
            <w:tcW w:type="dxa" w:w="19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Local SEO &amp; GMB expertise</w:t>
            </w:r>
          </w:p>
        </w:tc>
        <w:tc>
          <w:tcPr>
            <w:tcW w:type="dxa" w:w="1958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Seven Figure Agency's $425K/month billing example lives here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11. ARTICLE STRUCTURE &amp; WRITER CHECKLIST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INTRO (200–300 words)</w:t>
            </w:r>
          </w:p>
        </w:tc>
      </w:tr>
    </w:tbl>
    <w:p/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Open with the paradigm-shift stat: 84% of agencies now identify as specialists (Promethean 2025). Niching is no longer the bold move — staying generalist is.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State the core paradox: agencies that serve fewer types of clients earn more per client, close more proposals, and retain clients longer.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Name what the article will deliver: financial benchmarks, two named case studies with specific revenue figures, and a practical niche-selection framework.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Include primary keyword naturally within first 100 words.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Do NOT open with a generic 'In today's competitive landscape...' sentence.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SECTION 1: The Financial Case — What the Data Actually Shows (500–600 words)</w:t>
            </w:r>
          </w:p>
        </w:tc>
      </w:tr>
    </w:tbl>
    <w:p/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Open with the Promethean service-reduction stat (30% vs. 10% margins; 1.1% growth for agencies making no changes).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Present the niche vs. generalist comparison table (REQ 2) — this is the centrepiece of the financial case.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Cover margin compression facing generalists: only 22% of agencies raised rates in 2024, down from nearly half the prior year (Promethean 2025).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Cite the revenue-per-employee gap: $250K+ for specialists vs. $180K+ for generalists (Karl Sakas).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Cover client churn differential: niche agencies 15–20% annual churn vs. 25–35% for generalists.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Close with the ANA/4As stat: average agency-client tenure has doubled from 3.2 to ~7 years — retention compounds.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SECTION 2: Why Niche Agencies Win More Business and Charge More (400–500 words)</w:t>
            </w:r>
          </w:p>
        </w:tc>
      </w:tr>
    </w:tbl>
    <w:p/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Open with the close rate data: niche agencies close 40–55% of proposals vs. 25–30% for generalists.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Explain the mechanism: the specialist enters the first sales call already knowing the prospect's industry, competitors, and challenges. No education phase = faster trust = shorter cycle.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Quote Blair Enns on specialisation's three benefits: sales advantage, pricing premium, client relationship power; goal is to reduce or eliminate competition.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Cover referral network advantage: niche agencies build industry-specific word-of-mouth that compounds; prospects in the same industry know each other.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Include the vertical pricing table (REQ 7) to show concrete premium by niche.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Quote Corey Quinn: scaled Scorpion from $20M to $150M on specialisation; his clients grow 93% faster.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SECTION 3: The Operational Dividend — How Specialisation Multiplies Efficiency (300–400 words)</w:t>
            </w:r>
          </w:p>
        </w:tc>
      </w:tr>
    </w:tbl>
    <w:p/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Cover SOPs, content templates, reporting dashboards that become reusable across clients in the same vertical.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Faster onboarding: when agency already knows the industry, onboarding time drops significantly.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Quote Jason Swenk: 'Review your most profitable clients quarterly, identify patterns, focus marketing on similar prospects. Charge more so you can afford the right people.'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Quote David C. Baker: vertically-oriented firms are usually the Agency of Record relationship driver — they get paid the most.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Mention SocialPilot white-label naturally: Elevation Brands case study — used SocialPilot to scale client volume and 'substantially increase profit margins' without building custom tech.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SECTION 4: Real Proof — Two Agencies That Did It (400–500 words)</w:t>
            </w:r>
          </w:p>
        </w:tc>
      </w:tr>
    </w:tbl>
    <w:p/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Case Study 1: Rankings.io. Full narrative (REQ 4): $2M → $12M → $30M. The personal injury specialisation decision. 5X pricing increase. 7 Inc 5000 appearances. Karl Sakas coaching role.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Case Study 2: The Plumbing/HVAC Agency. $425K/month billing. Went from serving 'everyone from lawyers to restaurants' to HVAC-only. Hit seven figures within two years. Source: Seven Figure Agency (tracked 133 agencies — all had a niche).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Brief mention of 2–3 other named specialists: Cardinal Digital Marketing (healthcare), Gripped.io (B2B SaaS), CSTMR (fintech) — shows range of verticals.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Tie together: both case studies followed the same pattern — identified where they already had wins, doubled down, raised prices, built referral networks, systemised delivery.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SECTION 5: How to Choose Your Niche — The 3-Part Framework + Validation (450–550 words)</w:t>
            </w:r>
          </w:p>
        </w:tc>
      </w:tr>
    </w:tbl>
    <w:p/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Framework: Expertise × Market Demand × Passion — all three required. Missing one creates fragile specialisation.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Expertise step: look at your 3–5 most successful/profitable clients — what vertical, size, or problem do they share? That overlap is your starting point. Quote David C. Baker: expertise is not invented; it emerges from what you've already done.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Market Demand step: apply Karl Sakas' Goldilocks rule — 2,000–10,000 prospects, 10–200 competitors. Use: vertical-specific directories, LinkedIn Sales Navigator, Google Keyword Planner for search demand.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Passion step: honest self-assessment. A motivated generalist outperforms a burned-out specialist. If thinking about this niche for 5 years makes you want to quit, listen to that.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Validation step (CRITICAL): do not change your website, fire existing clients, or rebrand. For 90 days: narrow your active pipeline to the target niche, update case studies to spotlight target-vertical wins, adjust sales talk track. If it works, commit. If not, iterate.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Include 'When NOT to niche' guidance: insufficient past experience in the target vertical; local market too small to sustain the niche; personal burnout risk from the subject matter.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SECTION 6: The Risks Are Real — Here's How to Manage Them (250–300 words)</w:t>
            </w:r>
          </w:p>
        </w:tc>
      </w:tr>
    </w:tbl>
    <w:p/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Acknowledge market concentration risk honestly — do not dismiss it. If a vertical contracts (hospitality in 2020, startup SaaS in 2023 funding winter), revenue is at risk.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Mitigation: choose verticals with regulatory complexity (HIPAA, legal advertising rules) — compliance knowledge creates competitive barriers that protect the agency.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Mitigation: validate market depth before committing. 2,000+ addressable prospects is minimum for a sustainable niche at the agency scale.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Scaling constraint: very narrow niches (e.g. 'marketing for artisan cheese makers') have a ceiling — research the total addressable market before committing.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Honest caveat: a motivated generalist outperforms a burned-out specialist. Passion matters.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SECTION 7: The Most Profitable Niches Right Now — Market Data by Vertical (300–400 words)</w:t>
            </w:r>
          </w:p>
        </w:tc>
      </w:tr>
    </w:tbl>
    <w:p/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Use the Niche Vertical Market Snapshot table from the brief (Section 10) as the data foundation.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Frame as: 'Here's what the market data shows — but the right niche for YOUR agency is the intersection of this data and your existing expertise.' Do not make this a guaranteed gold rush list.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Highlight three top-tier opportunities with strongest data: Healthcare ($24.77B market, 13.3% YoY growth, compliance moat), Legal (personal injury — Rankings.io proof, $12K–$25K+ retainers, $2.5B+ market), B2B SaaS ($8K–$75K/month by growth stage, AI-driven expansion).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Cover the underdog opportunity: Home Services (HVAC, plumbing, roofing) — fragmented, growing, underserved by specialists, as proven by the $425K/month agency.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80" w:type="dxa"/>
              <w:bottom w:w="8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CONCLUSION &amp; CTA (200–250 words)</w:t>
            </w:r>
          </w:p>
        </w:tc>
      </w:tr>
    </w:tbl>
    <w:p/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Restate the core argument: the data is unambiguous — specialists earn more, retain clients longer, close more deals, and build businesses that sell for more.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Return to the 84% stat: if 84% of agencies are already specialists, staying generalist means competing with the bottom 16% on price while specialists take the best clients.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Practical next step: identify your best 3 clients right now. What do they have in common? Start there.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CTA: link to SocialPilot's agency resources / white-label solution for agencies scaling a specialised practice.</w:t>
      </w:r>
    </w:p>
    <w:p>
      <w:pPr>
        <w:spacing w:before="0" w:after="0"/>
        <w:spacing w:before="0" w:after="60"/>
        <w:ind w:left="240" w:hanging="240"/>
      </w:pPr>
      <w:r>
        <w:rPr>
          <w:rFonts w:ascii="Calibri" w:hAnsi="Calibri"/>
          <w:color w:val="141413"/>
          <w:sz w:val="18"/>
        </w:rPr>
        <w:t>☐  FAQ section (5–6 Q&amp;As) for schema markup. Questions drawn from the PAA list in Section 2 of this brief.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12. KEY SOURCES FOR WRITER</w:t>
            </w:r>
          </w:p>
        </w:tc>
      </w:tr>
    </w:tbl>
    <w:p/>
    <w:p>
      <w:pPr>
        <w:spacing w:before="0" w:after="0"/>
        <w:spacing w:before="0" w:after="100"/>
      </w:pPr>
      <w:r>
        <w:rPr>
          <w:rFonts w:ascii="Calibri" w:hAnsi="Calibri"/>
          <w:b/>
          <w:color w:val="141413"/>
          <w:sz w:val="18"/>
        </w:rPr>
        <w:t>The writer must read and cite from the sources below. Do not fabricate or paraphrase statistics without verifying them at the source URL.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3264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Key Data Point</w:t>
            </w:r>
          </w:p>
        </w:tc>
        <w:tc>
          <w:tcPr>
            <w:tcW w:type="dxa" w:w="3264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URL</w:t>
            </w:r>
          </w:p>
        </w:tc>
      </w:tr>
      <w:tr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Promethean Research 2025 Digital Agency Industry Report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84% specialists; 30% vs. 10% margins; 1.1% growth for no-change agencies; 22% raised rates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https://prometheanresearch.com/2025-digital-agency-industry-report/</w:t>
            </w:r>
          </w:p>
        </w:tc>
      </w:tr>
      <w:tr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Predictable Profits 2025 Agency Growth Benchmark (300+ agencies)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92% vs. 78% retention; 25–32% vs. 18–22% margins by revenue tier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https://predictableprofits.com/2025-agency-growth-benchmark-key-metrics-from-300-7-8-figure-agencies/</w:t>
            </w:r>
          </w:p>
        </w:tc>
      </w:tr>
      <w:tr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Agency Analytics 2024 Marketing Agency Benchmarks Report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Specialist billing rate premiums; retainer prevalence (43% of packages)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https://agencyanalytics.com/company/newsroom/2024-benchmarks-report-press-release</w:t>
            </w:r>
          </w:p>
        </w:tc>
      </w:tr>
      <w:tr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Phantom Leads AI — Should Your Agency Niche Down?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40% more proposals closed; 2–3x higher rates; 3x faster growth in year 1–3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https://phantomleads.ai/blog/niche-down-or-stay-general</w:t>
            </w:r>
          </w:p>
        </w:tc>
      </w:tr>
      <w:tr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Sakas &amp; Company — Rankings.io Case Study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Full $2M → $12M → $30M revenue progression; pricing 5X after niching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https://sakasandcompany.com/case-studies/rankings-io-agency-growth/</w:t>
            </w:r>
          </w:p>
        </w:tc>
      </w:tr>
      <w:tr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Sakas &amp; Company — Agency Specialization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$250K+ revenue/employee target; Goldilocks market sizing (2K–10K prospects)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https://sakasandcompany.com/agency-specialization/</w:t>
            </w:r>
          </w:p>
        </w:tc>
      </w:tr>
      <w:tr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Seven Figure Agency — Niche Agency Growth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133 agencies tracked; all had a niche; $425K/month HVAC agency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https://sevenfigureagency.com/niche-agency-growth/</w:t>
            </w:r>
          </w:p>
        </w:tc>
      </w:tr>
      <w:tr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Corey Quinn — Deep Specialization Accelerator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Scorpion scaled $20M to $150M on specialisation; 93% faster growth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https://www.coreyquinn.com/about</w:t>
            </w:r>
          </w:p>
        </w:tc>
      </w:tr>
      <w:tr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Focus Digital — Average Marketing Agency Churn Report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Niche 15–20% churn vs. generalist 25–35%; ANA/4As tenure doubling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https://focus-digital.co/average-marketing-agency-churn/</w:t>
            </w:r>
          </w:p>
        </w:tc>
      </w:tr>
      <w:tr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IMARC Group — US Healthcare Digital Marketing Market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$24.77B in 2025; 13.3% YoY growth; online sub-segment at 12.44% CAGR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https://www.imarcgroup.com/us-healthcare-advertising-market</w:t>
            </w:r>
          </w:p>
        </w:tc>
      </w:tr>
      <w:tr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GrowthSpree — B2B SaaS Marketing Agency Pricing 2025–2026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$3K–$8K (seed); $8K–$15K (Series A); $15K–$75K+ (Series B+)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https://www.growthspreeofficial.com/blogs/b2b-saas-marketing-agency-pricing-2026-what-youll-actually-pay</w:t>
            </w:r>
          </w:p>
        </w:tc>
      </w:tr>
      <w:tr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LEXGRO / Hinge Marketing — Legal Marketing Spend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$2.5B+ total legal ad spend; 2–5% of revenue typical (underinvestment opportunity)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https://lexgro.com/insights/law-firm-marketing-spend-2026/</w:t>
            </w:r>
          </w:p>
        </w:tc>
      </w:tr>
      <w:tr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SocialPilot — Elevation Brands Case Study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White-label + scheduling led to scaled client volume and substantially higher profit margins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https://www.socialpilot.co/case-study/elevation-brands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1A56D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2"/>
              </w:rPr>
              <w:t>13. INTERNAL LINKS (Suggested)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Suggested Anchor Text</w:t>
            </w:r>
          </w:p>
        </w:tc>
        <w:tc>
          <w:tcPr>
            <w:tcW w:type="dxa" w:w="3264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URL</w:t>
            </w:r>
          </w:p>
        </w:tc>
        <w:tc>
          <w:tcPr>
            <w:tcW w:type="dxa" w:w="3264"/>
            <w:shd w:val="clear" w:color="auto" w:fill="1A56D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Placement Suggestion</w:t>
            </w:r>
          </w:p>
        </w:tc>
      </w:tr>
      <w:tr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How to get clients for your digital marketing agency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https://www.socialpilot.co/agency-success-guide/how-to-get-clients-for-digital-marketing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Section 2 (Win Rates) — when discussing how niche agencies generate inbound referrals</w:t>
            </w:r>
          </w:p>
        </w:tc>
      </w:tr>
      <w:tr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How to grow a digital marketing agency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https://www.socialpilot.co/agency-success-guide/how-to-grow-a-digital-marketing-agency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Intro or Conclusion — when framing niching as a growth lever</w:t>
            </w:r>
          </w:p>
        </w:tc>
      </w:tr>
      <w:tr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Performance-based retainers for social media agencies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https://www.socialpilot.co/blog/performance-based-retainer-social-media-agency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Section 1 (Financial Case) — when covering pricing models that reward specialist results</w:t>
            </w:r>
          </w:p>
        </w:tc>
      </w:tr>
      <w:tr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Social media management cost: how much to charge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https://www.socialpilot.co/blog/social-media-management-cost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Section 1 (Financial Case) or niche pricing table — when referencing rate benchmarks</w:t>
            </w:r>
          </w:p>
        </w:tc>
      </w:tr>
      <w:tr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Client retention: challenges, strategies and more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https://www.socialpilot.co/agency-success-guide/client-retention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Section 1 (Financial Case) — when covering the retention advantage of niche agencies</w:t>
            </w:r>
          </w:p>
        </w:tc>
      </w:tr>
      <w:tr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White-label social media reporting for agencies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https://www.socialpilot.co/blog/white-label-social-media-reporting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Section 3 (Operational Dividend) — when discussing systemised delivery and reporting</w:t>
            </w:r>
          </w:p>
        </w:tc>
      </w:tr>
      <w:tr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How to upsell social media clients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https://www.socialpilot.co/blog/upsell-social-media-clients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Conclusion — once a niche is established, upselling deeper services is the growth lever</w:t>
            </w:r>
          </w:p>
        </w:tc>
      </w:tr>
      <w:tr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Client onboarding guide for agencies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https://www.socialpilot.co/agency-success-guide/guide-to-client-onboarding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Section 3 (Operational Dividend) — when covering faster onboarding in a specialised niche</w:t>
            </w:r>
          </w:p>
        </w:tc>
      </w:tr>
      <w:tr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SocialPilot for agencies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https://www.socialpilot.co/solutions/agencies</w:t>
            </w:r>
          </w:p>
        </w:tc>
        <w:tc>
          <w:tcPr>
            <w:tcW w:type="dxa" w:w="3264"/>
            <w:shd w:val="clear" w:color="auto" w:fill="EEF2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Section 3 or CTA — main agency solutions page</w:t>
            </w:r>
          </w:p>
        </w:tc>
      </w:tr>
      <w:tr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Agency Success Guide hub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https://www.socialpilot.co/agency-success-guide</w:t>
            </w:r>
          </w:p>
        </w:tc>
        <w:tc>
          <w:tcPr>
            <w:tcW w:type="dxa" w:w="326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41413"/>
                <w:sz w:val="18"/>
              </w:rPr>
              <w:t>Conclusion — signpost readers to broader agency growth resources</w:t>
            </w:r>
          </w:p>
        </w:tc>
      </w:tr>
    </w:tbl>
    <w:p/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