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GrowthTrack AI</w:t>
      </w:r>
    </w:p>
    <w:p>
      <w:pPr>
        <w:jc w:val="center"/>
      </w:pPr>
      <w:r>
        <w:rPr>
          <w:color w:val="505050"/>
          <w:sz w:val="28"/>
        </w:rPr>
        <w:t>Child Development Evaluation Platform - Executive Summary</w:t>
      </w:r>
    </w:p>
    <w:p/>
    <w:p>
      <w:pPr>
        <w:jc w:val="center"/>
      </w:pPr>
      <w:r>
        <w:rPr>
          <w:color w:val="646464"/>
          <w:sz w:val="22"/>
        </w:rPr>
        <w:t>Version 1.0 | January 2026</w:t>
      </w:r>
    </w:p>
    <w:p>
      <w:r>
        <w:br w:type="page"/>
      </w:r>
    </w:p>
    <w:p>
      <w:pPr>
        <w:pStyle w:val="Heading1"/>
      </w:pPr>
      <w:r>
        <w:t>Executive Summary</w:t>
      </w:r>
    </w:p>
    <w:p>
      <w:r>
        <w:t>GrowthTrack AI is an innovative mobile and web application designed to provide comprehensive developmental assessment for children aged 1-5 years. Leveraging WHO growth standards and evidence-based developmental milestones, the platform offers parents, caregivers, and healthcare providers an intelligent tool to monitor and evaluate child growth across multiple domains.</w:t>
      </w:r>
    </w:p>
    <w:p>
      <w:pPr>
        <w:pStyle w:val="Heading2"/>
      </w:pPr>
      <w:r>
        <w:t>Problem Statement</w:t>
      </w:r>
    </w:p>
    <w:p>
      <w:r>
        <w:t>Early childhood development is critical, yet many parents lack accessible tools to systematically track their child's growth and development between pediatric visits. Current challenges include:</w:t>
      </w:r>
    </w:p>
    <w:p>
      <w:pPr>
        <w:pStyle w:val="ListBullet"/>
      </w:pPr>
      <w:r>
        <w:t>Limited access to professional developmental assessments in many regions</w:t>
      </w:r>
    </w:p>
    <w:p>
      <w:pPr>
        <w:pStyle w:val="ListBullet"/>
      </w:pPr>
      <w:r>
        <w:t>Lack of culturally and demographically adjusted growth standards</w:t>
      </w:r>
    </w:p>
    <w:p>
      <w:pPr>
        <w:pStyle w:val="ListBullet"/>
      </w:pPr>
      <w:r>
        <w:t>Inconsistent tracking of multiple developmental domains</w:t>
      </w:r>
    </w:p>
    <w:p>
      <w:pPr>
        <w:pStyle w:val="ListBullet"/>
      </w:pPr>
      <w:r>
        <w:t>Language barriers in accessing developmental resources</w:t>
      </w:r>
    </w:p>
    <w:p>
      <w:pPr>
        <w:pStyle w:val="ListBullet"/>
      </w:pPr>
      <w:r>
        <w:t>High cost of frequent professional evaluations</w:t>
      </w:r>
    </w:p>
    <w:p>
      <w:pPr>
        <w:pStyle w:val="ListBullet"/>
      </w:pPr>
      <w:r>
        <w:t>Limited tools for early identification of developmental delays</w:t>
      </w:r>
    </w:p>
    <w:p>
      <w:pPr>
        <w:pStyle w:val="Heading2"/>
      </w:pPr>
      <w:r>
        <w:t>Solution Overview</w:t>
      </w:r>
    </w:p>
    <w:p>
      <w:r>
        <w:t>GrowthTrack AI provides a comprehensive solution through:</w:t>
      </w:r>
    </w:p>
    <w:p>
      <w:pPr>
        <w:pStyle w:val="ListBullet"/>
      </w:pPr>
      <w:r>
        <w:t>AI-powered developmental assessment across five key domains: physical growth, motor development, cognitive development, language/vocal development, and hearing/sensory development</w:t>
      </w:r>
    </w:p>
    <w:p>
      <w:pPr>
        <w:pStyle w:val="ListBullet"/>
      </w:pPr>
      <w:r>
        <w:t>WHO-standardized growth charts adapted for demographic variations</w:t>
      </w:r>
    </w:p>
    <w:p>
      <w:pPr>
        <w:pStyle w:val="ListBullet"/>
      </w:pPr>
      <w:r>
        <w:t>Multi-language support for global accessibility</w:t>
      </w:r>
    </w:p>
    <w:p>
      <w:pPr>
        <w:pStyle w:val="ListBullet"/>
      </w:pPr>
      <w:r>
        <w:t>Personalized milestone tracking with age-appropriate recommendations</w:t>
      </w:r>
    </w:p>
    <w:p>
      <w:pPr>
        <w:pStyle w:val="ListBullet"/>
      </w:pPr>
      <w:r>
        <w:t>Early warning system for potential developmental concerns</w:t>
      </w:r>
    </w:p>
    <w:p>
      <w:pPr>
        <w:pStyle w:val="ListBullet"/>
      </w:pPr>
      <w:r>
        <w:t>Secure data storage with longitudinal tracking capabilities</w:t>
      </w:r>
    </w:p>
    <w:p>
      <w:pPr>
        <w:pStyle w:val="ListBullet"/>
      </w:pPr>
      <w:r>
        <w:t>Integration with healthcare provider portals for seamless care coordination</w:t>
      </w:r>
    </w:p>
    <w:p>
      <w:pPr>
        <w:pStyle w:val="Heading2"/>
      </w:pPr>
      <w:r>
        <w:t>Market Opportunity</w:t>
      </w:r>
    </w:p>
    <w:p>
      <w:r>
        <w:t>The global digital health market for pediatric care is experiencing rapid growth:</w:t>
      </w:r>
    </w:p>
    <w:p>
      <w:pPr>
        <w:pStyle w:val="ListBullet"/>
      </w:pPr>
      <w:r>
        <w:t>Global digital health market projected to reach $639.4 billion by 2026</w:t>
      </w:r>
    </w:p>
    <w:p>
      <w:pPr>
        <w:pStyle w:val="ListBullet"/>
      </w:pPr>
      <w:r>
        <w:t>Pediatric health tech segment growing at 25.8% CAGR</w:t>
      </w:r>
    </w:p>
    <w:p>
      <w:pPr>
        <w:pStyle w:val="ListBullet"/>
      </w:pPr>
      <w:r>
        <w:t>Over 380 million children aged 0-5 years globally (target demographic)</w:t>
      </w:r>
    </w:p>
    <w:p>
      <w:pPr>
        <w:pStyle w:val="ListBullet"/>
      </w:pPr>
      <w:r>
        <w:t>Increasing smartphone penetration in developing countries (67% globally)</w:t>
      </w:r>
    </w:p>
    <w:p>
      <w:pPr>
        <w:pStyle w:val="ListBullet"/>
      </w:pPr>
      <w:r>
        <w:t>Rising awareness of early intervention benefits among parents</w:t>
      </w:r>
    </w:p>
    <w:p>
      <w:pPr>
        <w:pStyle w:val="ListBullet"/>
      </w:pPr>
      <w:r>
        <w:t>Growing telehealth adoption accelerated by recent global health trends</w:t>
      </w:r>
    </w:p>
    <w:p>
      <w:pPr>
        <w:pStyle w:val="Heading2"/>
      </w:pPr>
      <w:r>
        <w:t>Target Markets</w:t>
      </w:r>
    </w:p>
    <w:p>
      <w:pPr>
        <w:pStyle w:val="Heading3"/>
      </w:pPr>
      <w:r>
        <w:t>Primary Markets</w:t>
      </w:r>
    </w:p>
    <w:p>
      <w:pPr>
        <w:pStyle w:val="ListBullet"/>
      </w:pPr>
      <w:r>
        <w:t>United States and Canada: High digital literacy, willingness to pay for health tech</w:t>
      </w:r>
    </w:p>
    <w:p>
      <w:pPr>
        <w:pStyle w:val="ListBullet"/>
      </w:pPr>
      <w:r>
        <w:t>European Union: Strong focus on preventive healthcare and child welfare</w:t>
      </w:r>
    </w:p>
    <w:p>
      <w:pPr>
        <w:pStyle w:val="ListBullet"/>
      </w:pPr>
      <w:r>
        <w:t>Urban centers in India, China, Southeast Asia: Large population base, growing middle class</w:t>
      </w:r>
    </w:p>
    <w:p>
      <w:pPr>
        <w:pStyle w:val="Heading3"/>
      </w:pPr>
      <w:r>
        <w:t>Secondary Markets</w:t>
      </w:r>
    </w:p>
    <w:p>
      <w:pPr>
        <w:pStyle w:val="ListBullet"/>
      </w:pPr>
      <w:r>
        <w:t>Middle East and North Africa: Growing healthcare infrastructure</w:t>
      </w:r>
    </w:p>
    <w:p>
      <w:pPr>
        <w:pStyle w:val="ListBullet"/>
      </w:pPr>
      <w:r>
        <w:t>Latin America: Increasing smartphone adoption and health awareness</w:t>
      </w:r>
    </w:p>
    <w:p>
      <w:pPr>
        <w:pStyle w:val="ListBullet"/>
      </w:pPr>
      <w:r>
        <w:t>Sub-Saharan Africa: High birth rates, need for accessible health tools</w:t>
      </w:r>
    </w:p>
    <w:p>
      <w:pPr>
        <w:pStyle w:val="Heading2"/>
      </w:pPr>
      <w:r>
        <w:t>Revenue Model</w:t>
      </w:r>
    </w:p>
    <w:p>
      <w:r>
        <w:t>GrowthTrack AI will operate on a freemium subscription model:</w:t>
      </w:r>
    </w:p>
    <w:p>
      <w:pPr>
        <w:pStyle w:val="Heading3"/>
      </w:pPr>
      <w:r>
        <w:t>Free Tier</w:t>
      </w:r>
    </w:p>
    <w:p>
      <w:pPr>
        <w:pStyle w:val="ListBullet"/>
      </w:pPr>
      <w:r>
        <w:t>Basic growth tracking (weight, height)</w:t>
      </w:r>
    </w:p>
    <w:p>
      <w:pPr>
        <w:pStyle w:val="ListBullet"/>
      </w:pPr>
      <w:r>
        <w:t>Standard developmental milestones</w:t>
      </w:r>
    </w:p>
    <w:p>
      <w:pPr>
        <w:pStyle w:val="ListBullet"/>
      </w:pPr>
      <w:r>
        <w:t>Limited assessment reports (monthly)</w:t>
      </w:r>
    </w:p>
    <w:p>
      <w:pPr>
        <w:pStyle w:val="ListBullet"/>
      </w:pPr>
      <w:r>
        <w:t>Community support access</w:t>
      </w:r>
    </w:p>
    <w:p>
      <w:pPr>
        <w:pStyle w:val="Heading3"/>
      </w:pPr>
      <w:r>
        <w:t>Premium Tier ($9.99/month or $89.99/year)</w:t>
      </w:r>
    </w:p>
    <w:p>
      <w:pPr>
        <w:pStyle w:val="ListBullet"/>
      </w:pPr>
      <w:r>
        <w:t>Comprehensive developmental assessments across all five domains</w:t>
      </w:r>
    </w:p>
    <w:p>
      <w:pPr>
        <w:pStyle w:val="ListBullet"/>
      </w:pPr>
      <w:r>
        <w:t>Demographic and ethnic adjustment algorithms</w:t>
      </w:r>
    </w:p>
    <w:p>
      <w:pPr>
        <w:pStyle w:val="ListBullet"/>
      </w:pPr>
      <w:r>
        <w:t>Unlimited detailed reports with AI insights</w:t>
      </w:r>
    </w:p>
    <w:p>
      <w:pPr>
        <w:pStyle w:val="ListBullet"/>
      </w:pPr>
      <w:r>
        <w:t>Early warning alerts for developmental concerns</w:t>
      </w:r>
    </w:p>
    <w:p>
      <w:pPr>
        <w:pStyle w:val="ListBullet"/>
      </w:pPr>
      <w:r>
        <w:t>Multi-child family accounts</w:t>
      </w:r>
    </w:p>
    <w:p>
      <w:pPr>
        <w:pStyle w:val="ListBullet"/>
      </w:pPr>
      <w:r>
        <w:t>Healthcare provider portal integration</w:t>
      </w:r>
    </w:p>
    <w:p>
      <w:pPr>
        <w:pStyle w:val="ListBullet"/>
      </w:pPr>
      <w:r>
        <w:t>Export capabilities for pediatrician visits</w:t>
      </w:r>
    </w:p>
    <w:p>
      <w:pPr>
        <w:pStyle w:val="ListBullet"/>
      </w:pPr>
      <w:r>
        <w:t>Priority customer support</w:t>
      </w:r>
    </w:p>
    <w:p>
      <w:pPr>
        <w:pStyle w:val="Heading3"/>
      </w:pPr>
      <w:r>
        <w:t>Professional/Healthcare Provider Tier ($299/month)</w:t>
      </w:r>
    </w:p>
    <w:p>
      <w:pPr>
        <w:pStyle w:val="ListBullet"/>
      </w:pPr>
      <w:r>
        <w:t>Practice management dashboard</w:t>
      </w:r>
    </w:p>
    <w:p>
      <w:pPr>
        <w:pStyle w:val="ListBullet"/>
      </w:pPr>
      <w:r>
        <w:t>Patient invitation and monitoring</w:t>
      </w:r>
    </w:p>
    <w:p>
      <w:pPr>
        <w:pStyle w:val="ListBullet"/>
      </w:pPr>
      <w:r>
        <w:t>Bulk assessment tools</w:t>
      </w:r>
    </w:p>
    <w:p>
      <w:pPr>
        <w:pStyle w:val="ListBullet"/>
      </w:pPr>
      <w:r>
        <w:t>White-label capabilities</w:t>
      </w:r>
    </w:p>
    <w:p>
      <w:pPr>
        <w:pStyle w:val="ListBullet"/>
      </w:pPr>
      <w:r>
        <w:t>HIPAA-compliant data handling</w:t>
      </w:r>
    </w:p>
    <w:p>
      <w:pPr>
        <w:pStyle w:val="ListBullet"/>
      </w:pPr>
      <w:r>
        <w:t>Advanced analytics and reporting</w:t>
      </w:r>
    </w:p>
    <w:p>
      <w:pPr>
        <w:pStyle w:val="ListBullet"/>
      </w:pPr>
      <w:r>
        <w:t>API access for EMR integration</w:t>
      </w:r>
    </w:p>
    <w:p>
      <w:pPr>
        <w:pStyle w:val="Heading2"/>
      </w:pPr>
      <w:r>
        <w:t>Financial Projections (5-Year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Year 1</w:t>
            </w:r>
          </w:p>
        </w:tc>
        <w:tc>
          <w:tcPr>
            <w:tcW w:type="dxa" w:w="1440"/>
          </w:tcPr>
          <w:p>
            <w:r>
              <w:rPr>
                <w:b/>
              </w:rPr>
              <w:t>Year 2</w:t>
            </w:r>
          </w:p>
        </w:tc>
        <w:tc>
          <w:tcPr>
            <w:tcW w:type="dxa" w:w="1440"/>
          </w:tcPr>
          <w:p>
            <w:r>
              <w:rPr>
                <w:b/>
              </w:rPr>
              <w:t>Year 3</w:t>
            </w:r>
          </w:p>
        </w:tc>
        <w:tc>
          <w:tcPr>
            <w:tcW w:type="dxa" w:w="1440"/>
          </w:tcPr>
          <w:p>
            <w:r>
              <w:rPr>
                <w:b/>
              </w:rPr>
              <w:t>Year 4</w:t>
            </w:r>
          </w:p>
        </w:tc>
        <w:tc>
          <w:tcPr>
            <w:tcW w:type="dxa" w:w="1440"/>
          </w:tcPr>
          <w:p>
            <w:r>
              <w:rPr>
                <w:b/>
              </w:rPr>
              <w:t>Year 5</w:t>
            </w:r>
          </w:p>
        </w:tc>
      </w:tr>
      <w:tr>
        <w:tc>
          <w:tcPr>
            <w:tcW w:type="dxa" w:w="1440"/>
          </w:tcPr>
          <w:p>
            <w:r>
              <w:t>Users (Free)</w:t>
            </w:r>
          </w:p>
        </w:tc>
        <w:tc>
          <w:tcPr>
            <w:tcW w:type="dxa" w:w="1440"/>
          </w:tcPr>
          <w:p>
            <w:r>
              <w:t>50,000</w:t>
            </w:r>
          </w:p>
        </w:tc>
        <w:tc>
          <w:tcPr>
            <w:tcW w:type="dxa" w:w="1440"/>
          </w:tcPr>
          <w:p>
            <w:r>
              <w:t>200,000</w:t>
            </w:r>
          </w:p>
        </w:tc>
        <w:tc>
          <w:tcPr>
            <w:tcW w:type="dxa" w:w="1440"/>
          </w:tcPr>
          <w:p>
            <w:r>
              <w:t>500,000</w:t>
            </w:r>
          </w:p>
        </w:tc>
        <w:tc>
          <w:tcPr>
            <w:tcW w:type="dxa" w:w="1440"/>
          </w:tcPr>
          <w:p>
            <w:r>
              <w:t>1,000,000</w:t>
            </w:r>
          </w:p>
        </w:tc>
        <w:tc>
          <w:tcPr>
            <w:tcW w:type="dxa" w:w="1440"/>
          </w:tcPr>
          <w:p>
            <w:r>
              <w:t>1,800,000</w:t>
            </w:r>
          </w:p>
        </w:tc>
      </w:tr>
      <w:tr>
        <w:tc>
          <w:tcPr>
            <w:tcW w:type="dxa" w:w="1440"/>
          </w:tcPr>
          <w:p>
            <w:r>
              <w:t>Users (Premium)</w:t>
            </w:r>
          </w:p>
        </w:tc>
        <w:tc>
          <w:tcPr>
            <w:tcW w:type="dxa" w:w="1440"/>
          </w:tcPr>
          <w:p>
            <w:r>
              <w:t>2,500</w:t>
            </w:r>
          </w:p>
        </w:tc>
        <w:tc>
          <w:tcPr>
            <w:tcW w:type="dxa" w:w="1440"/>
          </w:tcPr>
          <w:p>
            <w:r>
              <w:t>15,000</w:t>
            </w:r>
          </w:p>
        </w:tc>
        <w:tc>
          <w:tcPr>
            <w:tcW w:type="dxa" w:w="1440"/>
          </w:tcPr>
          <w:p>
            <w:r>
              <w:t>50,000</w:t>
            </w:r>
          </w:p>
        </w:tc>
        <w:tc>
          <w:tcPr>
            <w:tcW w:type="dxa" w:w="1440"/>
          </w:tcPr>
          <w:p>
            <w:r>
              <w:t>150,000</w:t>
            </w:r>
          </w:p>
        </w:tc>
        <w:tc>
          <w:tcPr>
            <w:tcW w:type="dxa" w:w="1440"/>
          </w:tcPr>
          <w:p>
            <w:r>
              <w:t>360,000</w:t>
            </w:r>
          </w:p>
        </w:tc>
      </w:tr>
      <w:tr>
        <w:tc>
          <w:tcPr>
            <w:tcW w:type="dxa" w:w="1440"/>
          </w:tcPr>
          <w:p>
            <w:r>
              <w:t>Healthcare Providers</w:t>
            </w:r>
          </w:p>
        </w:tc>
        <w:tc>
          <w:tcPr>
            <w:tcW w:type="dxa" w:w="1440"/>
          </w:tcPr>
          <w:p>
            <w:r>
              <w:t>50</w:t>
            </w:r>
          </w:p>
        </w:tc>
        <w:tc>
          <w:tcPr>
            <w:tcW w:type="dxa" w:w="1440"/>
          </w:tcPr>
          <w:p>
            <w:r>
              <w:t>200</w:t>
            </w:r>
          </w:p>
        </w:tc>
        <w:tc>
          <w:tcPr>
            <w:tcW w:type="dxa" w:w="1440"/>
          </w:tcPr>
          <w:p>
            <w:r>
              <w:t>500</w:t>
            </w:r>
          </w:p>
        </w:tc>
        <w:tc>
          <w:tcPr>
            <w:tcW w:type="dxa" w:w="1440"/>
          </w:tcPr>
          <w:p>
            <w:r>
              <w:t>1,200</w:t>
            </w:r>
          </w:p>
        </w:tc>
        <w:tc>
          <w:tcPr>
            <w:tcW w:type="dxa" w:w="1440"/>
          </w:tcPr>
          <w:p>
            <w:r>
              <w:t>2,500</w:t>
            </w:r>
          </w:p>
        </w:tc>
      </w:tr>
      <w:tr>
        <w:tc>
          <w:tcPr>
            <w:tcW w:type="dxa" w:w="1440"/>
          </w:tcPr>
          <w:p>
            <w:r>
              <w:t>Revenue (USD)</w:t>
            </w:r>
          </w:p>
        </w:tc>
        <w:tc>
          <w:tcPr>
            <w:tcW w:type="dxa" w:w="1440"/>
          </w:tcPr>
          <w:p>
            <w:r>
              <w:t>$397,450</w:t>
            </w:r>
          </w:p>
        </w:tc>
        <w:tc>
          <w:tcPr>
            <w:tcW w:type="dxa" w:w="1440"/>
          </w:tcPr>
          <w:p>
            <w:r>
              <w:t>$2,359,800</w:t>
            </w:r>
          </w:p>
        </w:tc>
        <w:tc>
          <w:tcPr>
            <w:tcW w:type="dxa" w:w="1440"/>
          </w:tcPr>
          <w:p>
            <w:r>
              <w:t>$7,194,000</w:t>
            </w:r>
          </w:p>
        </w:tc>
        <w:tc>
          <w:tcPr>
            <w:tcW w:type="dxa" w:w="1440"/>
          </w:tcPr>
          <w:p>
            <w:r>
              <w:t>$20,538,000</w:t>
            </w:r>
          </w:p>
        </w:tc>
        <w:tc>
          <w:tcPr>
            <w:tcW w:type="dxa" w:w="1440"/>
          </w:tcPr>
          <w:p>
            <w:r>
              <w:t>$46,035,000</w:t>
            </w:r>
          </w:p>
        </w:tc>
      </w:tr>
      <w:tr>
        <w:tc>
          <w:tcPr>
            <w:tcW w:type="dxa" w:w="1440"/>
          </w:tcPr>
          <w:p>
            <w:r>
              <w:t>Net Profit Margin</w:t>
            </w:r>
          </w:p>
        </w:tc>
        <w:tc>
          <w:tcPr>
            <w:tcW w:type="dxa" w:w="1440"/>
          </w:tcPr>
          <w:p>
            <w:r>
              <w:t>-45%</w:t>
            </w:r>
          </w:p>
        </w:tc>
        <w:tc>
          <w:tcPr>
            <w:tcW w:type="dxa" w:w="1440"/>
          </w:tcPr>
          <w:p>
            <w:r>
              <w:t>15%</w:t>
            </w:r>
          </w:p>
        </w:tc>
        <w:tc>
          <w:tcPr>
            <w:tcW w:type="dxa" w:w="1440"/>
          </w:tcPr>
          <w:p>
            <w:r>
              <w:t>28%</w:t>
            </w:r>
          </w:p>
        </w:tc>
        <w:tc>
          <w:tcPr>
            <w:tcW w:type="dxa" w:w="1440"/>
          </w:tcPr>
          <w:p>
            <w:r>
              <w:t>35%</w:t>
            </w:r>
          </w:p>
        </w:tc>
        <w:tc>
          <w:tcPr>
            <w:tcW w:type="dxa" w:w="1440"/>
          </w:tcPr>
          <w:p>
            <w:r>
              <w:t>40%</w:t>
            </w:r>
          </w:p>
        </w:tc>
      </w:tr>
    </w:tbl>
    <w:p/>
    <w:p>
      <w:pPr>
        <w:pStyle w:val="Heading2"/>
      </w:pPr>
      <w:r>
        <w:t>Competitive Advantages</w:t>
      </w:r>
    </w:p>
    <w:p>
      <w:pPr>
        <w:pStyle w:val="ListBullet"/>
      </w:pPr>
      <w:r>
        <w:t>AI-powered multi-domain assessment: Unlike competitors focusing on single aspects, we provide comprehensive evaluation</w:t>
      </w:r>
    </w:p>
    <w:p>
      <w:pPr>
        <w:pStyle w:val="ListBullet"/>
      </w:pPr>
      <w:r>
        <w:t>Demographic adjustment algorithms: Unique capability to adjust assessments based on ethnicity and regional factors</w:t>
      </w:r>
    </w:p>
    <w:p>
      <w:pPr>
        <w:pStyle w:val="ListBullet"/>
      </w:pPr>
      <w:r>
        <w:t>WHO-validated standards: Built on internationally recognized growth and development standards</w:t>
      </w:r>
    </w:p>
    <w:p>
      <w:pPr>
        <w:pStyle w:val="ListBullet"/>
      </w:pPr>
      <w:r>
        <w:t>User-friendly interface: Designed for parents with varying technical literacy levels</w:t>
      </w:r>
    </w:p>
    <w:p>
      <w:pPr>
        <w:pStyle w:val="ListBullet"/>
      </w:pPr>
      <w:r>
        <w:t>Multi-language support: Initial launch with 12 languages, expanding to 30+ within two years</w:t>
      </w:r>
    </w:p>
    <w:p>
      <w:pPr>
        <w:pStyle w:val="ListBullet"/>
      </w:pPr>
      <w:r>
        <w:t>Privacy-first architecture: End-to-end encryption and compliance with global data protection regulations</w:t>
      </w:r>
    </w:p>
    <w:p>
      <w:pPr>
        <w:pStyle w:val="ListBullet"/>
      </w:pPr>
      <w:r>
        <w:t>Healthcare integration: Seamless connection between parents and healthcare providers</w:t>
      </w:r>
    </w:p>
    <w:p>
      <w:pPr>
        <w:pStyle w:val="Heading2"/>
      </w:pPr>
      <w:r>
        <w:t>Key Success Factors</w:t>
      </w:r>
    </w:p>
    <w:p>
      <w:pPr>
        <w:pStyle w:val="ListBullet"/>
      </w:pPr>
      <w:r>
        <w:t>Clinical validation and partnerships with pediatric associations</w:t>
      </w:r>
    </w:p>
    <w:p>
      <w:pPr>
        <w:pStyle w:val="ListBullet"/>
      </w:pPr>
      <w:r>
        <w:t>Strong user acquisition through digital marketing and healthcare provider referrals</w:t>
      </w:r>
    </w:p>
    <w:p>
      <w:pPr>
        <w:pStyle w:val="ListBullet"/>
      </w:pPr>
      <w:r>
        <w:t>Continuous improvement of AI algorithms based on user data</w:t>
      </w:r>
    </w:p>
    <w:p>
      <w:pPr>
        <w:pStyle w:val="ListBullet"/>
      </w:pPr>
      <w:r>
        <w:t>Regulatory compliance across multiple jurisdictions</w:t>
      </w:r>
    </w:p>
    <w:p>
      <w:pPr>
        <w:pStyle w:val="ListBullet"/>
      </w:pPr>
      <w:r>
        <w:t>Building trust through transparent, evidence-based assessments</w:t>
      </w:r>
    </w:p>
    <w:p>
      <w:pPr>
        <w:pStyle w:val="ListBullet"/>
      </w:pPr>
      <w:r>
        <w:t>Strategic partnerships with healthcare systems and insurance providers</w:t>
      </w:r>
    </w:p>
    <w:p>
      <w:pPr>
        <w:pStyle w:val="Heading2"/>
      </w:pPr>
      <w:r>
        <w:t>Funding Requirements</w:t>
      </w:r>
    </w:p>
    <w:p>
      <w:r>
        <w:t>We are seeking $3.5 million in Series A funding to achieve the following milestones:</w:t>
      </w:r>
    </w:p>
    <w:p>
      <w:pPr>
        <w:pStyle w:val="ListBullet"/>
      </w:pPr>
      <w:r>
        <w:t>Product Development (40%): Complete AI algorithm development, multi-language implementation, healthcare provider portal</w:t>
      </w:r>
    </w:p>
    <w:p>
      <w:pPr>
        <w:pStyle w:val="ListBullet"/>
      </w:pPr>
      <w:r>
        <w:t>Regulatory and Compliance (15%): FDA clearance, HIPAA compliance, international certifications</w:t>
      </w:r>
    </w:p>
    <w:p>
      <w:pPr>
        <w:pStyle w:val="ListBullet"/>
      </w:pPr>
      <w:r>
        <w:t>Marketing and User Acquisition (25%): Digital marketing campaigns, partnerships with parenting platforms, healthcare provider outreach</w:t>
      </w:r>
    </w:p>
    <w:p>
      <w:pPr>
        <w:pStyle w:val="ListBullet"/>
      </w:pPr>
      <w:r>
        <w:t>Team Expansion (15%): Hire pediatric specialists, data scientists, engineers, customer support</w:t>
      </w:r>
    </w:p>
    <w:p>
      <w:pPr>
        <w:pStyle w:val="ListBullet"/>
      </w:pPr>
      <w:r>
        <w:t>Operations and Infrastructure (5%): Cloud infrastructure, security, customer support systems</w:t>
      </w:r>
    </w:p>
    <w:p>
      <w:pPr>
        <w:pStyle w:val="Heading2"/>
      </w:pPr>
      <w:r>
        <w:t>Risk Mitigation</w:t>
      </w:r>
    </w:p>
    <w:p>
      <w:r>
        <w:t>We have identified key risks and developed mitigation strategies: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 Strategy</w:t>
            </w:r>
          </w:p>
        </w:tc>
      </w:tr>
      <w:tr>
        <w:tc>
          <w:tcPr>
            <w:tcW w:type="dxa" w:w="4320"/>
          </w:tcPr>
          <w:p>
            <w:r>
              <w:t>Regulatory approval delays</w:t>
            </w:r>
          </w:p>
        </w:tc>
        <w:tc>
          <w:tcPr>
            <w:tcW w:type="dxa" w:w="4320"/>
          </w:tcPr>
          <w:p>
            <w:r>
              <w:t>Early engagement with regulatory bodies, phased launch starting with wellness features</w:t>
            </w:r>
          </w:p>
        </w:tc>
      </w:tr>
      <w:tr>
        <w:tc>
          <w:tcPr>
            <w:tcW w:type="dxa" w:w="4320"/>
          </w:tcPr>
          <w:p>
            <w:r>
              <w:t>Data privacy concerns</w:t>
            </w:r>
          </w:p>
        </w:tc>
        <w:tc>
          <w:tcPr>
            <w:tcW w:type="dxa" w:w="4320"/>
          </w:tcPr>
          <w:p>
            <w:r>
              <w:t>Industry-leading encryption, transparent privacy policies, third-party audits</w:t>
            </w:r>
          </w:p>
        </w:tc>
      </w:tr>
      <w:tr>
        <w:tc>
          <w:tcPr>
            <w:tcW w:type="dxa" w:w="4320"/>
          </w:tcPr>
          <w:p>
            <w:r>
              <w:t>Low user adoption</w:t>
            </w:r>
          </w:p>
        </w:tc>
        <w:tc>
          <w:tcPr>
            <w:tcW w:type="dxa" w:w="4320"/>
          </w:tcPr>
          <w:p>
            <w:r>
              <w:t>Freemium model to lower barriers, partnerships with healthcare providers for referrals</w:t>
            </w:r>
          </w:p>
        </w:tc>
      </w:tr>
      <w:tr>
        <w:tc>
          <w:tcPr>
            <w:tcW w:type="dxa" w:w="4320"/>
          </w:tcPr>
          <w:p>
            <w:r>
              <w:t>Competition from established players</w:t>
            </w:r>
          </w:p>
        </w:tc>
        <w:tc>
          <w:tcPr>
            <w:tcW w:type="dxa" w:w="4320"/>
          </w:tcPr>
          <w:p>
            <w:r>
              <w:t>Focus on unique demographic adjustment features, superior UX, clinical validation</w:t>
            </w:r>
          </w:p>
        </w:tc>
      </w:tr>
    </w:tbl>
    <w:p>
      <w:pPr>
        <w:pStyle w:val="Heading2"/>
      </w:pPr>
      <w:r>
        <w:t>Conclusion</w:t>
      </w:r>
    </w:p>
    <w:p>
      <w:r>
        <w:t>GrowthTrack AI represents a significant opportunity to improve early childhood development outcomes globally. By combining WHO-validated standards with cutting-edge AI technology and demographic awareness, we are positioned to become the leading platform for child development monitoring. With proper funding and execution, we project reaching 1.8 million free users and 360,000 premium subscribers by year five, generating over $46 million in annual revenue while making a meaningful impact on child health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