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67A3" w14:textId="056CCFF2" w:rsidR="001C6FB2" w:rsidRDefault="00000000">
      <w:pPr>
        <w:pStyle w:val="Heading1"/>
      </w:pPr>
      <w:r>
        <w:t>Role: Lead Engineer (LE)</w:t>
      </w:r>
    </w:p>
    <w:p w14:paraId="4DCFA816" w14:textId="77777777" w:rsidR="001C6FB2" w:rsidRDefault="00000000">
      <w:pPr>
        <w:pStyle w:val="Heading2"/>
      </w:pPr>
      <w:r>
        <w:t>Mission</w:t>
      </w:r>
    </w:p>
    <w:p w14:paraId="327045F6" w14:textId="77777777" w:rsidR="001C6FB2" w:rsidRDefault="00000000">
      <w:r>
        <w:t>To lead technical delivery by architecting scalable solutions, ensuring engineering excellence, mentoring senior and junior engineers, and aligning technical execution with business objectives. The LSE is accountable for delivery predictability, quality, and technical innovation, while also driving ownership of modules and ensuring cross-functional collaboration.</w:t>
      </w:r>
    </w:p>
    <w:p w14:paraId="1838AC69" w14:textId="77777777" w:rsidR="001C6FB2" w:rsidRDefault="00000000">
      <w:pPr>
        <w:pStyle w:val="Heading2"/>
      </w:pPr>
      <w:r>
        <w:t>Accountabilities (with Outcomes &amp; Metrics)</w:t>
      </w:r>
    </w:p>
    <w:tbl>
      <w:tblPr>
        <w:tblW w:w="0" w:type="auto"/>
        <w:tblLook w:val="04A0" w:firstRow="1" w:lastRow="0" w:firstColumn="1" w:lastColumn="0" w:noHBand="0" w:noVBand="1"/>
      </w:tblPr>
      <w:tblGrid>
        <w:gridCol w:w="2880"/>
        <w:gridCol w:w="2880"/>
        <w:gridCol w:w="2880"/>
      </w:tblGrid>
      <w:tr w:rsidR="000D6EED" w14:paraId="75BFC6A7" w14:textId="77777777" w:rsidTr="00795C27">
        <w:tc>
          <w:tcPr>
            <w:tcW w:w="2880" w:type="dxa"/>
          </w:tcPr>
          <w:p w14:paraId="2A5E8C2F" w14:textId="77777777" w:rsidR="000D6EED" w:rsidRDefault="000D6EED" w:rsidP="00795C27">
            <w:r>
              <w:t>Area</w:t>
            </w:r>
          </w:p>
        </w:tc>
        <w:tc>
          <w:tcPr>
            <w:tcW w:w="2880" w:type="dxa"/>
          </w:tcPr>
          <w:p w14:paraId="0834B06F" w14:textId="77777777" w:rsidR="000D6EED" w:rsidRDefault="000D6EED" w:rsidP="00795C27">
            <w:r>
              <w:t>Accountability</w:t>
            </w:r>
          </w:p>
        </w:tc>
        <w:tc>
          <w:tcPr>
            <w:tcW w:w="2880" w:type="dxa"/>
          </w:tcPr>
          <w:p w14:paraId="68613F21" w14:textId="77777777" w:rsidR="000D6EED" w:rsidRDefault="000D6EED" w:rsidP="00795C27">
            <w:r>
              <w:t>Measures of Success (KRA/OKR)</w:t>
            </w:r>
          </w:p>
        </w:tc>
      </w:tr>
      <w:tr w:rsidR="000D6EED" w14:paraId="4174DD1E" w14:textId="77777777" w:rsidTr="00795C27">
        <w:tc>
          <w:tcPr>
            <w:tcW w:w="2880" w:type="dxa"/>
          </w:tcPr>
          <w:p w14:paraId="5934E390" w14:textId="77777777" w:rsidR="000D6EED" w:rsidRDefault="000D6EED" w:rsidP="00795C27">
            <w:r>
              <w:t>Design &amp; Delivery</w:t>
            </w:r>
          </w:p>
        </w:tc>
        <w:tc>
          <w:tcPr>
            <w:tcW w:w="2880" w:type="dxa"/>
          </w:tcPr>
          <w:p w14:paraId="5D0ADE8E" w14:textId="77777777" w:rsidR="000D6EED" w:rsidRDefault="000D6EED" w:rsidP="00795C27">
            <w:r>
              <w:t>Own design and delivery of complex, cross-team features or services; ensure robustness, maintainability, and performance of critical code paths.</w:t>
            </w:r>
          </w:p>
        </w:tc>
        <w:tc>
          <w:tcPr>
            <w:tcW w:w="2880" w:type="dxa"/>
          </w:tcPr>
          <w:p w14:paraId="0508E639" w14:textId="77777777" w:rsidR="000D6EED" w:rsidRDefault="000D6EED" w:rsidP="00795C27">
            <w:r>
              <w:t>• 95% of features delivered within planned timelines.</w:t>
            </w:r>
            <w:r>
              <w:br/>
              <w:t>• &lt;5% of production issues from owned components.</w:t>
            </w:r>
          </w:p>
        </w:tc>
      </w:tr>
      <w:tr w:rsidR="000D6EED" w14:paraId="6E340B76" w14:textId="77777777" w:rsidTr="00795C27">
        <w:tc>
          <w:tcPr>
            <w:tcW w:w="2880" w:type="dxa"/>
          </w:tcPr>
          <w:p w14:paraId="3B539B85" w14:textId="77777777" w:rsidR="000D6EED" w:rsidRDefault="000D6EED" w:rsidP="00795C27">
            <w:r>
              <w:t>System Performance &amp; Reliability</w:t>
            </w:r>
          </w:p>
        </w:tc>
        <w:tc>
          <w:tcPr>
            <w:tcW w:w="2880" w:type="dxa"/>
          </w:tcPr>
          <w:p w14:paraId="11820C12" w14:textId="77777777" w:rsidR="000D6EED" w:rsidRDefault="000D6EED" w:rsidP="00795C27">
            <w:r>
              <w:t>Lead achievement of benchmarks for system performance, scalability, and reliability.</w:t>
            </w:r>
          </w:p>
        </w:tc>
        <w:tc>
          <w:tcPr>
            <w:tcW w:w="2880" w:type="dxa"/>
          </w:tcPr>
          <w:p w14:paraId="4515BE58" w14:textId="77777777" w:rsidR="000D6EED" w:rsidRDefault="000D6EED" w:rsidP="00795C27">
            <w:r>
              <w:t>• Platform/service uptime &gt; 99.9%.</w:t>
            </w:r>
            <w:r>
              <w:br/>
              <w:t>• Achieve agreed performance benchmarks (latency, throughput, error rates).</w:t>
            </w:r>
          </w:p>
        </w:tc>
      </w:tr>
      <w:tr w:rsidR="000D6EED" w14:paraId="5420B44B" w14:textId="77777777" w:rsidTr="00795C27">
        <w:tc>
          <w:tcPr>
            <w:tcW w:w="2880" w:type="dxa"/>
          </w:tcPr>
          <w:p w14:paraId="5DA8915F" w14:textId="77777777" w:rsidR="000D6EED" w:rsidRDefault="000D6EED" w:rsidP="00795C27">
            <w:r>
              <w:t>Technical Initiatives</w:t>
            </w:r>
          </w:p>
        </w:tc>
        <w:tc>
          <w:tcPr>
            <w:tcW w:w="2880" w:type="dxa"/>
          </w:tcPr>
          <w:p w14:paraId="26DDCBBF" w14:textId="77777777" w:rsidR="000D6EED" w:rsidRDefault="000D6EED" w:rsidP="00795C27">
            <w:r>
              <w:t>Lead small-to-medium technical initiatives end-to-end and contribute to platform/system health roadmap.</w:t>
            </w:r>
          </w:p>
        </w:tc>
        <w:tc>
          <w:tcPr>
            <w:tcW w:w="2880" w:type="dxa"/>
          </w:tcPr>
          <w:p w14:paraId="25DE16E2" w14:textId="77777777" w:rsidR="000D6EED" w:rsidRDefault="000D6EED" w:rsidP="00795C27">
            <w:r>
              <w:t>• 100% delivery of assigned initiatives within quarter.</w:t>
            </w:r>
            <w:r>
              <w:br/>
              <w:t>• Documented improvements to system health metrics (e.g., MTTR reduction by 15%).</w:t>
            </w:r>
          </w:p>
        </w:tc>
      </w:tr>
      <w:tr w:rsidR="000D6EED" w14:paraId="350A4D56" w14:textId="77777777" w:rsidTr="00795C27">
        <w:tc>
          <w:tcPr>
            <w:tcW w:w="2880" w:type="dxa"/>
          </w:tcPr>
          <w:p w14:paraId="05B17312" w14:textId="77777777" w:rsidR="000D6EED" w:rsidRDefault="000D6EED" w:rsidP="00795C27">
            <w:r>
              <w:t>Enablement &amp; Tooling</w:t>
            </w:r>
          </w:p>
        </w:tc>
        <w:tc>
          <w:tcPr>
            <w:tcW w:w="2880" w:type="dxa"/>
          </w:tcPr>
          <w:p w14:paraId="03983A82" w14:textId="77777777" w:rsidR="000D6EED" w:rsidRDefault="000D6EED" w:rsidP="00795C27">
            <w:r>
              <w:t>Build reusable templates, automation, and tooling that accelerate development across teams.</w:t>
            </w:r>
          </w:p>
        </w:tc>
        <w:tc>
          <w:tcPr>
            <w:tcW w:w="2880" w:type="dxa"/>
          </w:tcPr>
          <w:p w14:paraId="02092CDA" w14:textId="77777777" w:rsidR="000D6EED" w:rsidRDefault="000D6EED" w:rsidP="00795C27">
            <w:r>
              <w:t>• At least 2–3 reusable tools/templates delivered per quarter.</w:t>
            </w:r>
            <w:r>
              <w:br/>
              <w:t>• Peer productivity improvement noted in engineering feedback surveys.</w:t>
            </w:r>
          </w:p>
        </w:tc>
      </w:tr>
      <w:tr w:rsidR="000D6EED" w14:paraId="065EC5F3" w14:textId="77777777" w:rsidTr="00795C27">
        <w:tc>
          <w:tcPr>
            <w:tcW w:w="2880" w:type="dxa"/>
          </w:tcPr>
          <w:p w14:paraId="6745A12D" w14:textId="77777777" w:rsidR="000D6EED" w:rsidRDefault="000D6EED" w:rsidP="00795C27">
            <w:r>
              <w:lastRenderedPageBreak/>
              <w:t>AI Productivity Adoption</w:t>
            </w:r>
          </w:p>
        </w:tc>
        <w:tc>
          <w:tcPr>
            <w:tcW w:w="2880" w:type="dxa"/>
          </w:tcPr>
          <w:p w14:paraId="75453062" w14:textId="77777777" w:rsidR="000D6EED" w:rsidRDefault="000D6EED" w:rsidP="00795C27">
            <w:r>
              <w:t>Drive adoption of AI tools to accelerate development and reduce repetitive tasks.</w:t>
            </w:r>
          </w:p>
        </w:tc>
        <w:tc>
          <w:tcPr>
            <w:tcW w:w="2880" w:type="dxa"/>
          </w:tcPr>
          <w:p w14:paraId="7A5E1529" w14:textId="77777777" w:rsidR="000D6EED" w:rsidRDefault="000D6EED" w:rsidP="00795C27">
            <w:r>
              <w:t>• 30%+ usage of AI tools among immediate team.</w:t>
            </w:r>
            <w:r>
              <w:br/>
              <w:t>• Reduction in manual/repetitive coding by measurable hours saved.</w:t>
            </w:r>
          </w:p>
        </w:tc>
      </w:tr>
      <w:tr w:rsidR="000D6EED" w14:paraId="1312B993" w14:textId="77777777" w:rsidTr="00795C27">
        <w:tc>
          <w:tcPr>
            <w:tcW w:w="2880" w:type="dxa"/>
          </w:tcPr>
          <w:p w14:paraId="7CDCBF16" w14:textId="77777777" w:rsidR="000D6EED" w:rsidRDefault="000D6EED" w:rsidP="00795C27">
            <w:r>
              <w:t>Coaching &amp; Mentorship</w:t>
            </w:r>
          </w:p>
        </w:tc>
        <w:tc>
          <w:tcPr>
            <w:tcW w:w="2880" w:type="dxa"/>
          </w:tcPr>
          <w:p w14:paraId="3B9B9798" w14:textId="77777777" w:rsidR="000D6EED" w:rsidRDefault="000D6EED" w:rsidP="00795C27">
            <w:r>
              <w:t>Mentor and coach Senior Engineers on architecture, design trade-offs, and best practices.</w:t>
            </w:r>
          </w:p>
        </w:tc>
        <w:tc>
          <w:tcPr>
            <w:tcW w:w="2880" w:type="dxa"/>
          </w:tcPr>
          <w:p w14:paraId="5B136B92" w14:textId="77777777" w:rsidR="000D6EED" w:rsidRDefault="000D6EED" w:rsidP="00795C27">
            <w:r>
              <w:t>• At least 2 coaching/learning sessions per quarter.</w:t>
            </w:r>
            <w:r>
              <w:br/>
              <w:t>• Positive feedback from mentees in pulse surveys.</w:t>
            </w:r>
          </w:p>
        </w:tc>
      </w:tr>
      <w:tr w:rsidR="000D6EED" w14:paraId="66D1538C" w14:textId="77777777" w:rsidTr="00795C27">
        <w:tc>
          <w:tcPr>
            <w:tcW w:w="2880" w:type="dxa"/>
          </w:tcPr>
          <w:p w14:paraId="506607B4" w14:textId="77777777" w:rsidR="000D6EED" w:rsidRDefault="000D6EED" w:rsidP="00795C27">
            <w:r>
              <w:t>Communication &amp; Documentation</w:t>
            </w:r>
          </w:p>
        </w:tc>
        <w:tc>
          <w:tcPr>
            <w:tcW w:w="2880" w:type="dxa"/>
          </w:tcPr>
          <w:p w14:paraId="75427348" w14:textId="77777777" w:rsidR="000D6EED" w:rsidRDefault="000D6EED" w:rsidP="00795C27">
            <w:r>
              <w:t>Lead design reviews, publish concise documentation, and promote clarity in cross-functional forums.</w:t>
            </w:r>
          </w:p>
        </w:tc>
        <w:tc>
          <w:tcPr>
            <w:tcW w:w="2880" w:type="dxa"/>
          </w:tcPr>
          <w:p w14:paraId="114D8AC5" w14:textId="77777777" w:rsidR="000D6EED" w:rsidRDefault="000D6EED" w:rsidP="00795C27">
            <w:r>
              <w:t>• 100% of major features documented.</w:t>
            </w:r>
            <w:r>
              <w:br/>
              <w:t>• Active participation in &gt;80% design/architecture reviews.</w:t>
            </w:r>
          </w:p>
        </w:tc>
      </w:tr>
      <w:tr w:rsidR="000D6EED" w14:paraId="24ECEEC8" w14:textId="77777777" w:rsidTr="00795C27">
        <w:tc>
          <w:tcPr>
            <w:tcW w:w="2880" w:type="dxa"/>
          </w:tcPr>
          <w:p w14:paraId="077F139B" w14:textId="77777777" w:rsidR="000D6EED" w:rsidRDefault="000D6EED" w:rsidP="00795C27">
            <w:r>
              <w:t>Cross-Functional Practices</w:t>
            </w:r>
          </w:p>
        </w:tc>
        <w:tc>
          <w:tcPr>
            <w:tcW w:w="2880" w:type="dxa"/>
          </w:tcPr>
          <w:p w14:paraId="311FCA72" w14:textId="77777777" w:rsidR="000D6EED" w:rsidRDefault="000D6EED" w:rsidP="00795C27">
            <w:r>
              <w:t>Champion infrastructure-as-code standards, best practices, and release readiness reviews.</w:t>
            </w:r>
          </w:p>
        </w:tc>
        <w:tc>
          <w:tcPr>
            <w:tcW w:w="2880" w:type="dxa"/>
          </w:tcPr>
          <w:p w14:paraId="2BA6468A" w14:textId="77777777" w:rsidR="000D6EED" w:rsidRDefault="000D6EED" w:rsidP="00795C27">
            <w:r>
              <w:t>• 90% adherence to infra-as-code guidelines.</w:t>
            </w:r>
            <w:r>
              <w:br/>
              <w:t>• No critical release delays due to readiness gaps.</w:t>
            </w:r>
          </w:p>
        </w:tc>
      </w:tr>
      <w:tr w:rsidR="000D6EED" w14:paraId="340F8A8F" w14:textId="77777777" w:rsidTr="00795C27">
        <w:tc>
          <w:tcPr>
            <w:tcW w:w="2880" w:type="dxa"/>
          </w:tcPr>
          <w:p w14:paraId="30912F8C" w14:textId="77777777" w:rsidR="000D6EED" w:rsidRDefault="000D6EED" w:rsidP="00795C27">
            <w:r>
              <w:t>Org-Level Contribution</w:t>
            </w:r>
          </w:p>
        </w:tc>
        <w:tc>
          <w:tcPr>
            <w:tcW w:w="2880" w:type="dxa"/>
          </w:tcPr>
          <w:p w14:paraId="4CD9CCE0" w14:textId="77777777" w:rsidR="000D6EED" w:rsidRDefault="000D6EED" w:rsidP="00795C27">
            <w:r>
              <w:t>Lead or contribute to communities of practice and knowledge sharing across org.</w:t>
            </w:r>
          </w:p>
        </w:tc>
        <w:tc>
          <w:tcPr>
            <w:tcW w:w="2880" w:type="dxa"/>
          </w:tcPr>
          <w:p w14:paraId="5A957DFF" w14:textId="77777777" w:rsidR="000D6EED" w:rsidRDefault="000D6EED" w:rsidP="00795C27">
            <w:r>
              <w:t>• Active leadership in at least one community of practice.</w:t>
            </w:r>
            <w:r>
              <w:br/>
              <w:t>• Minimum 1 knowledge-sharing session per quarter.</w:t>
            </w:r>
          </w:p>
        </w:tc>
      </w:tr>
    </w:tbl>
    <w:p w14:paraId="70F529AA" w14:textId="77777777" w:rsidR="000D6EED" w:rsidRDefault="000D6EED">
      <w:pPr>
        <w:pStyle w:val="Heading2"/>
      </w:pPr>
    </w:p>
    <w:p w14:paraId="71407F03" w14:textId="77777777" w:rsidR="000D6EED" w:rsidRDefault="000D6EED">
      <w:pPr>
        <w:pStyle w:val="Heading2"/>
      </w:pPr>
    </w:p>
    <w:p w14:paraId="384E2E9A" w14:textId="77777777" w:rsidR="000D6EED" w:rsidRDefault="000D6EED">
      <w:pPr>
        <w:pStyle w:val="Heading2"/>
      </w:pPr>
    </w:p>
    <w:p w14:paraId="5B47817F" w14:textId="52559551" w:rsidR="001C6FB2" w:rsidRDefault="00000000">
      <w:pPr>
        <w:pStyle w:val="Heading2"/>
      </w:pPr>
      <w:r>
        <w:t>Core Values (Taazaa)</w:t>
      </w:r>
    </w:p>
    <w:p w14:paraId="613FD41B" w14:textId="77777777" w:rsidR="001C6FB2" w:rsidRDefault="00000000">
      <w:pPr>
        <w:pStyle w:val="ListBullet"/>
      </w:pPr>
      <w:r>
        <w:t>Ownership: Take full responsibility for technical delivery and team growth.</w:t>
      </w:r>
    </w:p>
    <w:p w14:paraId="68B8EA05" w14:textId="77777777" w:rsidR="001C6FB2" w:rsidRDefault="00000000">
      <w:pPr>
        <w:pStyle w:val="ListBullet"/>
      </w:pPr>
      <w:r>
        <w:t>Collaboration: Drive psychological safety and alignment across engineering and product teams.</w:t>
      </w:r>
    </w:p>
    <w:p w14:paraId="18F6B655" w14:textId="77777777" w:rsidR="001C6FB2" w:rsidRDefault="00000000">
      <w:pPr>
        <w:pStyle w:val="ListBullet"/>
      </w:pPr>
      <w:r>
        <w:t>Discipline: Enforce adherence to processes, coding standards, and reviews.</w:t>
      </w:r>
    </w:p>
    <w:p w14:paraId="4BBD9FAA" w14:textId="77777777" w:rsidR="001C6FB2" w:rsidRDefault="00000000">
      <w:pPr>
        <w:pStyle w:val="ListBullet"/>
      </w:pPr>
      <w:r>
        <w:t>Agility: Respond dynamically to product changes without sacrificing quality.</w:t>
      </w:r>
    </w:p>
    <w:p w14:paraId="44A30CDB" w14:textId="77777777" w:rsidR="001C6FB2" w:rsidRDefault="00000000">
      <w:pPr>
        <w:pStyle w:val="ListBullet"/>
      </w:pPr>
      <w:r>
        <w:t>Communication: Provide transparent, structured updates to leadership and peers.</w:t>
      </w:r>
    </w:p>
    <w:p w14:paraId="3E310E11" w14:textId="77777777" w:rsidR="001C6FB2" w:rsidRDefault="00000000">
      <w:pPr>
        <w:pStyle w:val="ListBullet"/>
      </w:pPr>
      <w:r>
        <w:t>Problem Solving: Anticipate risks and resolve technical gaps proactively.</w:t>
      </w:r>
    </w:p>
    <w:p w14:paraId="7AF57A37" w14:textId="77777777" w:rsidR="001C6FB2" w:rsidRDefault="00000000">
      <w:pPr>
        <w:pStyle w:val="Heading2"/>
      </w:pPr>
      <w:r>
        <w:lastRenderedPageBreak/>
        <w:t>Key Competencies</w:t>
      </w:r>
    </w:p>
    <w:p w14:paraId="365E7A3B" w14:textId="77777777" w:rsidR="001C6FB2" w:rsidRDefault="00000000">
      <w:pPr>
        <w:pStyle w:val="ListBullet"/>
      </w:pPr>
      <w:r>
        <w:t>Advanced system design &amp; software architecture expertise.</w:t>
      </w:r>
    </w:p>
    <w:p w14:paraId="6183F2A3" w14:textId="77777777" w:rsidR="001C6FB2" w:rsidRDefault="00000000">
      <w:pPr>
        <w:pStyle w:val="ListBullet"/>
      </w:pPr>
      <w:r>
        <w:t>Strong technical leadership and decision-making.</w:t>
      </w:r>
    </w:p>
    <w:p w14:paraId="1E0042D0" w14:textId="77777777" w:rsidR="001C6FB2" w:rsidRDefault="00000000">
      <w:pPr>
        <w:pStyle w:val="ListBullet"/>
      </w:pPr>
      <w:r>
        <w:t>Proficiency in multiple frameworks, languages, and design patterns.</w:t>
      </w:r>
    </w:p>
    <w:p w14:paraId="0B0FF91C" w14:textId="77777777" w:rsidR="001C6FB2" w:rsidRDefault="00000000">
      <w:pPr>
        <w:pStyle w:val="ListBullet"/>
      </w:pPr>
      <w:r>
        <w:t>Excellent mentoring and coaching ability.</w:t>
      </w:r>
    </w:p>
    <w:p w14:paraId="7ED46EF3" w14:textId="77777777" w:rsidR="001C6FB2" w:rsidRDefault="00000000">
      <w:pPr>
        <w:pStyle w:val="ListBullet"/>
      </w:pPr>
      <w:r>
        <w:t>Cross-functional collaboration &amp; stakeholder management.</w:t>
      </w:r>
    </w:p>
    <w:p w14:paraId="36B160EE" w14:textId="77777777" w:rsidR="001C6FB2" w:rsidRDefault="00000000">
      <w:pPr>
        <w:pStyle w:val="ListBullet"/>
      </w:pPr>
      <w:r>
        <w:t>Agile/Scrum methodology mastery.</w:t>
      </w:r>
    </w:p>
    <w:p w14:paraId="4DE05FA7" w14:textId="77777777" w:rsidR="001C6FB2" w:rsidRDefault="00000000">
      <w:pPr>
        <w:pStyle w:val="ListBullet"/>
      </w:pPr>
      <w:r>
        <w:t>CI/CD, DevOps, and cloud deployment practices.</w:t>
      </w:r>
    </w:p>
    <w:p w14:paraId="33C277AA" w14:textId="77777777" w:rsidR="001C6FB2" w:rsidRDefault="00000000">
      <w:pPr>
        <w:pStyle w:val="ListBullet"/>
      </w:pPr>
      <w:r>
        <w:t>Ability to balance delivery, innovation, and technical debt management.</w:t>
      </w:r>
    </w:p>
    <w:p w14:paraId="4675811C" w14:textId="77777777" w:rsidR="001C6FB2" w:rsidRDefault="00000000">
      <w:pPr>
        <w:pStyle w:val="Heading2"/>
      </w:pPr>
      <w:r>
        <w:t>Success Planning (30-60-90 Days)</w:t>
      </w:r>
    </w:p>
    <w:tbl>
      <w:tblPr>
        <w:tblW w:w="0" w:type="auto"/>
        <w:tblLook w:val="04A0" w:firstRow="1" w:lastRow="0" w:firstColumn="1" w:lastColumn="0" w:noHBand="0" w:noVBand="1"/>
      </w:tblPr>
      <w:tblGrid>
        <w:gridCol w:w="2880"/>
        <w:gridCol w:w="2880"/>
        <w:gridCol w:w="2880"/>
      </w:tblGrid>
      <w:tr w:rsidR="001C6FB2" w14:paraId="4135DA30" w14:textId="77777777">
        <w:tc>
          <w:tcPr>
            <w:tcW w:w="2880" w:type="dxa"/>
          </w:tcPr>
          <w:p w14:paraId="24E6EC89" w14:textId="77777777" w:rsidR="001C6FB2" w:rsidRDefault="00000000">
            <w:r>
              <w:t>Timeframe</w:t>
            </w:r>
          </w:p>
        </w:tc>
        <w:tc>
          <w:tcPr>
            <w:tcW w:w="2880" w:type="dxa"/>
          </w:tcPr>
          <w:p w14:paraId="4A0D03AF" w14:textId="77777777" w:rsidR="001C6FB2" w:rsidRDefault="00000000">
            <w:r>
              <w:t>Focus Areas</w:t>
            </w:r>
          </w:p>
        </w:tc>
        <w:tc>
          <w:tcPr>
            <w:tcW w:w="2880" w:type="dxa"/>
          </w:tcPr>
          <w:p w14:paraId="70532816" w14:textId="77777777" w:rsidR="001C6FB2" w:rsidRDefault="00000000">
            <w:r>
              <w:t>Indicators of Success</w:t>
            </w:r>
          </w:p>
        </w:tc>
      </w:tr>
      <w:tr w:rsidR="001C6FB2" w14:paraId="6A76473D" w14:textId="77777777">
        <w:tc>
          <w:tcPr>
            <w:tcW w:w="2880" w:type="dxa"/>
          </w:tcPr>
          <w:p w14:paraId="4A004991" w14:textId="77777777" w:rsidR="001C6FB2" w:rsidRDefault="00000000">
            <w:r>
              <w:t>30 Days</w:t>
            </w:r>
          </w:p>
        </w:tc>
        <w:tc>
          <w:tcPr>
            <w:tcW w:w="2880" w:type="dxa"/>
          </w:tcPr>
          <w:p w14:paraId="08130942" w14:textId="77777777" w:rsidR="001C6FB2" w:rsidRDefault="00000000">
            <w:r>
              <w:t>Review architecture, assess team strengths and gaps, begin leading PR reviews.</w:t>
            </w:r>
          </w:p>
        </w:tc>
        <w:tc>
          <w:tcPr>
            <w:tcW w:w="2880" w:type="dxa"/>
          </w:tcPr>
          <w:p w14:paraId="5D56EAB0" w14:textId="77777777" w:rsidR="001C6FB2" w:rsidRDefault="00000000">
            <w:r>
              <w:t>• Architecture alignment with product roadmap.</w:t>
            </w:r>
            <w:r>
              <w:br/>
              <w:t>• PR review cadence established.</w:t>
            </w:r>
          </w:p>
        </w:tc>
      </w:tr>
      <w:tr w:rsidR="001C6FB2" w14:paraId="1768E49F" w14:textId="77777777">
        <w:tc>
          <w:tcPr>
            <w:tcW w:w="2880" w:type="dxa"/>
          </w:tcPr>
          <w:p w14:paraId="5697DF2D" w14:textId="77777777" w:rsidR="001C6FB2" w:rsidRDefault="00000000">
            <w:r>
              <w:t>60 Days</w:t>
            </w:r>
          </w:p>
        </w:tc>
        <w:tc>
          <w:tcPr>
            <w:tcW w:w="2880" w:type="dxa"/>
          </w:tcPr>
          <w:p w14:paraId="1B59B065" w14:textId="77777777" w:rsidR="001C6FB2" w:rsidRDefault="00000000">
            <w:r>
              <w:t>Lead delivery of a major feature; actively mentor 1–2 engineers.</w:t>
            </w:r>
          </w:p>
        </w:tc>
        <w:tc>
          <w:tcPr>
            <w:tcW w:w="2880" w:type="dxa"/>
          </w:tcPr>
          <w:p w14:paraId="5AD0CD82" w14:textId="77777777" w:rsidR="001C6FB2" w:rsidRDefault="00000000">
            <w:r>
              <w:t>• Feature delivered within sprint timeline.</w:t>
            </w:r>
            <w:r>
              <w:br/>
              <w:t>• Mentees reporting visible growth.</w:t>
            </w:r>
          </w:p>
        </w:tc>
      </w:tr>
      <w:tr w:rsidR="001C6FB2" w14:paraId="158A9BA6" w14:textId="77777777">
        <w:tc>
          <w:tcPr>
            <w:tcW w:w="2880" w:type="dxa"/>
          </w:tcPr>
          <w:p w14:paraId="2E176CEC" w14:textId="77777777" w:rsidR="001C6FB2" w:rsidRDefault="00000000">
            <w:r>
              <w:t>90 Days</w:t>
            </w:r>
          </w:p>
        </w:tc>
        <w:tc>
          <w:tcPr>
            <w:tcW w:w="2880" w:type="dxa"/>
          </w:tcPr>
          <w:p w14:paraId="53BA664F" w14:textId="77777777" w:rsidR="001C6FB2" w:rsidRDefault="00000000">
            <w:r>
              <w:t>Own module delivery end-to-end; contribute to cross-team planning and risk management.</w:t>
            </w:r>
          </w:p>
        </w:tc>
        <w:tc>
          <w:tcPr>
            <w:tcW w:w="2880" w:type="dxa"/>
          </w:tcPr>
          <w:p w14:paraId="30F3D6F7" w14:textId="77777777" w:rsidR="001C6FB2" w:rsidRDefault="00000000">
            <w:r>
              <w:t>• Predictability &gt; 90%.</w:t>
            </w:r>
            <w:r>
              <w:br/>
              <w:t>• Cross-team alignment visible in sprint demos.</w:t>
            </w:r>
          </w:p>
        </w:tc>
      </w:tr>
    </w:tbl>
    <w:p w14:paraId="0181E196" w14:textId="77777777" w:rsidR="001C6FB2" w:rsidRDefault="00000000">
      <w:pPr>
        <w:pStyle w:val="Heading2"/>
      </w:pPr>
      <w:r>
        <w:t>Dependencies</w:t>
      </w:r>
    </w:p>
    <w:p w14:paraId="6EB7E665" w14:textId="77777777" w:rsidR="001C6FB2" w:rsidRDefault="00000000">
      <w:pPr>
        <w:pStyle w:val="ListBullet"/>
      </w:pPr>
      <w:r>
        <w:t>Clear product requirements and technical specifications.</w:t>
      </w:r>
    </w:p>
    <w:p w14:paraId="200EA5A8" w14:textId="77777777" w:rsidR="001C6FB2" w:rsidRDefault="00000000">
      <w:pPr>
        <w:pStyle w:val="ListBullet"/>
      </w:pPr>
      <w:r>
        <w:t>Availability of skilled engineering resources.</w:t>
      </w:r>
    </w:p>
    <w:p w14:paraId="6CF5F1B9" w14:textId="77777777" w:rsidR="001C6FB2" w:rsidRDefault="00000000">
      <w:pPr>
        <w:pStyle w:val="ListBullet"/>
      </w:pPr>
      <w:r>
        <w:t>Timely QA, design, and DevOps support.</w:t>
      </w:r>
    </w:p>
    <w:p w14:paraId="3247424A" w14:textId="77777777" w:rsidR="001C6FB2" w:rsidRDefault="00000000">
      <w:pPr>
        <w:pStyle w:val="Heading2"/>
      </w:pPr>
      <w:r>
        <w:t>Blockers &amp; Mitigation</w:t>
      </w:r>
    </w:p>
    <w:tbl>
      <w:tblPr>
        <w:tblW w:w="0" w:type="auto"/>
        <w:tblLook w:val="04A0" w:firstRow="1" w:lastRow="0" w:firstColumn="1" w:lastColumn="0" w:noHBand="0" w:noVBand="1"/>
      </w:tblPr>
      <w:tblGrid>
        <w:gridCol w:w="2880"/>
        <w:gridCol w:w="2880"/>
        <w:gridCol w:w="2880"/>
      </w:tblGrid>
      <w:tr w:rsidR="001C6FB2" w14:paraId="46EAC420" w14:textId="77777777">
        <w:tc>
          <w:tcPr>
            <w:tcW w:w="2880" w:type="dxa"/>
          </w:tcPr>
          <w:p w14:paraId="72C6E2ED" w14:textId="77777777" w:rsidR="001C6FB2" w:rsidRDefault="00000000">
            <w:r>
              <w:t>Blocker</w:t>
            </w:r>
          </w:p>
        </w:tc>
        <w:tc>
          <w:tcPr>
            <w:tcW w:w="2880" w:type="dxa"/>
          </w:tcPr>
          <w:p w14:paraId="52FC9A54" w14:textId="77777777" w:rsidR="001C6FB2" w:rsidRDefault="00000000">
            <w:r>
              <w:t>How It Shows Up</w:t>
            </w:r>
          </w:p>
        </w:tc>
        <w:tc>
          <w:tcPr>
            <w:tcW w:w="2880" w:type="dxa"/>
          </w:tcPr>
          <w:p w14:paraId="3FB96880" w14:textId="77777777" w:rsidR="001C6FB2" w:rsidRDefault="00000000">
            <w:r>
              <w:t>Mitigation Plan</w:t>
            </w:r>
          </w:p>
        </w:tc>
      </w:tr>
      <w:tr w:rsidR="001C6FB2" w14:paraId="25D24595" w14:textId="77777777">
        <w:tc>
          <w:tcPr>
            <w:tcW w:w="2880" w:type="dxa"/>
          </w:tcPr>
          <w:p w14:paraId="3772E05C" w14:textId="77777777" w:rsidR="001C6FB2" w:rsidRDefault="00000000">
            <w:r>
              <w:t>Ambiguous Requirements</w:t>
            </w:r>
          </w:p>
        </w:tc>
        <w:tc>
          <w:tcPr>
            <w:tcW w:w="2880" w:type="dxa"/>
          </w:tcPr>
          <w:p w14:paraId="4D15F001" w14:textId="77777777" w:rsidR="001C6FB2" w:rsidRDefault="00000000">
            <w:r>
              <w:t>Frequent rework and scope creep.</w:t>
            </w:r>
          </w:p>
        </w:tc>
        <w:tc>
          <w:tcPr>
            <w:tcW w:w="2880" w:type="dxa"/>
          </w:tcPr>
          <w:p w14:paraId="5DA5343F" w14:textId="77777777" w:rsidR="001C6FB2" w:rsidRDefault="00000000">
            <w:r>
              <w:t>Drive requirement lock-in before sprint planning.</w:t>
            </w:r>
          </w:p>
        </w:tc>
      </w:tr>
      <w:tr w:rsidR="001C6FB2" w14:paraId="1B99E218" w14:textId="77777777">
        <w:tc>
          <w:tcPr>
            <w:tcW w:w="2880" w:type="dxa"/>
          </w:tcPr>
          <w:p w14:paraId="0EC41FCD" w14:textId="77777777" w:rsidR="001C6FB2" w:rsidRDefault="00000000">
            <w:r>
              <w:t>Resource Attrition</w:t>
            </w:r>
          </w:p>
        </w:tc>
        <w:tc>
          <w:tcPr>
            <w:tcW w:w="2880" w:type="dxa"/>
          </w:tcPr>
          <w:p w14:paraId="1504B791" w14:textId="77777777" w:rsidR="001C6FB2" w:rsidRDefault="00000000">
            <w:r>
              <w:t>Delays and skill gaps in delivery.</w:t>
            </w:r>
          </w:p>
        </w:tc>
        <w:tc>
          <w:tcPr>
            <w:tcW w:w="2880" w:type="dxa"/>
          </w:tcPr>
          <w:p w14:paraId="71030313" w14:textId="77777777" w:rsidR="001C6FB2" w:rsidRDefault="00000000">
            <w:r>
              <w:t>Build knowledge redundancy and succession planning.</w:t>
            </w:r>
          </w:p>
        </w:tc>
      </w:tr>
      <w:tr w:rsidR="001C6FB2" w14:paraId="59FEDFBD" w14:textId="77777777">
        <w:tc>
          <w:tcPr>
            <w:tcW w:w="2880" w:type="dxa"/>
          </w:tcPr>
          <w:p w14:paraId="798385A9" w14:textId="77777777" w:rsidR="001C6FB2" w:rsidRDefault="00000000">
            <w:r>
              <w:lastRenderedPageBreak/>
              <w:t>Technical Debt</w:t>
            </w:r>
          </w:p>
        </w:tc>
        <w:tc>
          <w:tcPr>
            <w:tcW w:w="2880" w:type="dxa"/>
          </w:tcPr>
          <w:p w14:paraId="45ABA785" w14:textId="77777777" w:rsidR="001C6FB2" w:rsidRDefault="00000000">
            <w:r>
              <w:t>Recurring bugs and scalability issues.</w:t>
            </w:r>
          </w:p>
        </w:tc>
        <w:tc>
          <w:tcPr>
            <w:tcW w:w="2880" w:type="dxa"/>
          </w:tcPr>
          <w:p w14:paraId="65466E35" w14:textId="77777777" w:rsidR="001C6FB2" w:rsidRDefault="00000000">
            <w:r>
              <w:t>Dedicate sprint capacity for debt resolution.</w:t>
            </w:r>
          </w:p>
        </w:tc>
      </w:tr>
    </w:tbl>
    <w:p w14:paraId="21DA3280" w14:textId="77777777" w:rsidR="001C6FB2" w:rsidRDefault="00000000">
      <w:pPr>
        <w:pStyle w:val="Heading2"/>
      </w:pPr>
      <w:r>
        <w:t>Enablers</w:t>
      </w:r>
    </w:p>
    <w:p w14:paraId="4AD00E00" w14:textId="77777777" w:rsidR="001C6FB2" w:rsidRDefault="00000000">
      <w:pPr>
        <w:pStyle w:val="ListBullet"/>
      </w:pPr>
      <w:r>
        <w:t>Support: Engineering Manager, Product Owner.</w:t>
      </w:r>
    </w:p>
    <w:p w14:paraId="2AB5E401" w14:textId="77777777" w:rsidR="001C6FB2" w:rsidRDefault="00000000">
      <w:pPr>
        <w:pStyle w:val="ListBullet"/>
      </w:pPr>
      <w:r>
        <w:t>Resources: Architecture guidelines, reusable libraries, automation scripts.</w:t>
      </w:r>
    </w:p>
    <w:p w14:paraId="1EF8B137" w14:textId="77777777" w:rsidR="001C6FB2" w:rsidRDefault="00000000">
      <w:pPr>
        <w:pStyle w:val="ListBullet"/>
      </w:pPr>
      <w:r>
        <w:t>Systems: Git, Jira, Jenkins, Cloud platforms (AWS/Azure/GCP).</w:t>
      </w:r>
    </w:p>
    <w:sectPr w:rsidR="001C6F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6222473">
    <w:abstractNumId w:val="8"/>
  </w:num>
  <w:num w:numId="2" w16cid:durableId="1050226962">
    <w:abstractNumId w:val="6"/>
  </w:num>
  <w:num w:numId="3" w16cid:durableId="669336424">
    <w:abstractNumId w:val="5"/>
  </w:num>
  <w:num w:numId="4" w16cid:durableId="1777871607">
    <w:abstractNumId w:val="4"/>
  </w:num>
  <w:num w:numId="5" w16cid:durableId="1165515596">
    <w:abstractNumId w:val="7"/>
  </w:num>
  <w:num w:numId="6" w16cid:durableId="1611736145">
    <w:abstractNumId w:val="3"/>
  </w:num>
  <w:num w:numId="7" w16cid:durableId="928544036">
    <w:abstractNumId w:val="2"/>
  </w:num>
  <w:num w:numId="8" w16cid:durableId="1094666370">
    <w:abstractNumId w:val="1"/>
  </w:num>
  <w:num w:numId="9" w16cid:durableId="279262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EED"/>
    <w:rsid w:val="0015074B"/>
    <w:rsid w:val="001C6FB2"/>
    <w:rsid w:val="0029639D"/>
    <w:rsid w:val="00326F90"/>
    <w:rsid w:val="003E2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7B1ED"/>
  <w14:defaultImageDpi w14:val="300"/>
  <w15:docId w15:val="{5E11D1B6-B06E-254B-8814-B0EA75088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BBF874914348A45BF36919260785F8A" ma:contentTypeVersion="19" ma:contentTypeDescription="Create a new document." ma:contentTypeScope="" ma:versionID="48ca28a3184e24136fbd3636374e5f94">
  <xsd:schema xmlns:xsd="http://www.w3.org/2001/XMLSchema" xmlns:xs="http://www.w3.org/2001/XMLSchema" xmlns:p="http://schemas.microsoft.com/office/2006/metadata/properties" xmlns:ns2="2ad2c338-b475-49c5-ba31-4f1308e1722e" xmlns:ns3="1e496844-d79a-41fc-9d12-0a04358d9c75" targetNamespace="http://schemas.microsoft.com/office/2006/metadata/properties" ma:root="true" ma:fieldsID="22c63c6561996302e0199c0c7649977e" ns2:_="" ns3:_="">
    <xsd:import namespace="2ad2c338-b475-49c5-ba31-4f1308e1722e"/>
    <xsd:import namespace="1e496844-d79a-41fc-9d12-0a04358d9c7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2c338-b475-49c5-ba31-4f1308e17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7839d06-049d-4209-aea1-b6cda924641c"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496844-d79a-41fc-9d12-0a04358d9c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f0eaf60-124a-4cf7-b6b7-0b5199326955}" ma:internalName="TaxCatchAll" ma:showField="CatchAllData" ma:web="1e496844-d79a-41fc-9d12-0a04358d9c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e496844-d79a-41fc-9d12-0a04358d9c75" xsi:nil="true"/>
    <lcf76f155ced4ddcb4097134ff3c332f xmlns="2ad2c338-b475-49c5-ba31-4f1308e172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27CD541-A454-4BD5-8E6E-3957EB02AD3F}"/>
</file>

<file path=customXml/itemProps3.xml><?xml version="1.0" encoding="utf-8"?>
<ds:datastoreItem xmlns:ds="http://schemas.openxmlformats.org/officeDocument/2006/customXml" ds:itemID="{D464BC98-01AA-47E2-9CC7-4FAD84A2C197}"/>
</file>

<file path=customXml/itemProps4.xml><?xml version="1.0" encoding="utf-8"?>
<ds:datastoreItem xmlns:ds="http://schemas.openxmlformats.org/officeDocument/2006/customXml" ds:itemID="{27F2F18A-343D-4AD7-AF3C-4B1F247D58D4}"/>
</file>

<file path=docProps/app.xml><?xml version="1.0" encoding="utf-8"?>
<Properties xmlns="http://schemas.openxmlformats.org/officeDocument/2006/extended-properties" xmlns:vt="http://schemas.openxmlformats.org/officeDocument/2006/docPropsVTypes">
  <Template>Normal.dotm</Template>
  <TotalTime>1</TotalTime>
  <Pages>4</Pages>
  <Words>721</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Rai</cp:lastModifiedBy>
  <cp:revision>2</cp:revision>
  <dcterms:created xsi:type="dcterms:W3CDTF">2013-12-23T23:15:00Z</dcterms:created>
  <dcterms:modified xsi:type="dcterms:W3CDTF">2025-08-27T11:16:00Z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0x010100FBBF874914348A45BF36919260785F8A</vt:lpwstr>
  </property>
</Properties>
</file>