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jpeg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Principal Engineer – Roles &amp; Responsibilities</w:t>
      </w:r>
    </w:p>
    <w:p>
      <w:pPr>
        <w:pStyle w:val="Heading2"/>
      </w:pPr>
      <w:r>
        <w:t>Mission</w:t>
      </w:r>
    </w:p>
    <w:p>
      <w:r>
        <w:t>To provide deep technical expertise, thought leadership, and architectural direction across multiple teams. The Principal Engineer ensures scalability, security, and performance of large-scale systems, sets engineering standards, and mentors senior engineers to drive excellence across the organization. They influence business and product strategy through technology insights.</w:t>
      </w:r>
    </w:p>
    <w:p>
      <w:pPr>
        <w:pStyle w:val="Heading2"/>
      </w:pPr>
      <w:r>
        <w:t>Accountabilities (with Outcomes &amp; Metrics)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Accountability</w:t>
            </w:r>
          </w:p>
        </w:tc>
        <w:tc>
          <w:tcPr>
            <w:tcW w:type="dxa" w:w="2880"/>
          </w:tcPr>
          <w:p>
            <w:r>
              <w:t>Expected Outcomes</w:t>
            </w:r>
          </w:p>
        </w:tc>
        <w:tc>
          <w:tcPr>
            <w:tcW w:type="dxa" w:w="2880"/>
          </w:tcPr>
          <w:p>
            <w:r>
              <w:t>Metrics / OKRs</w:t>
            </w:r>
          </w:p>
        </w:tc>
      </w:tr>
      <w:tr>
        <w:tc>
          <w:tcPr>
            <w:tcW w:type="dxa" w:w="2880"/>
          </w:tcPr>
          <w:p>
            <w:r>
              <w:t>Architecture Leadership</w:t>
            </w:r>
          </w:p>
        </w:tc>
        <w:tc>
          <w:tcPr>
            <w:tcW w:type="dxa" w:w="2880"/>
          </w:tcPr>
          <w:p>
            <w:r>
              <w:t>Define and own system architecture for large-scale platforms.</w:t>
            </w:r>
          </w:p>
        </w:tc>
        <w:tc>
          <w:tcPr>
            <w:tcW w:type="dxa" w:w="2880"/>
          </w:tcPr>
          <w:p>
            <w:r>
              <w:t>• Zero critical scalability issues in production.</w:t>
              <w:br/>
              <w:t>• Reference architectures reused across projects.</w:t>
            </w:r>
          </w:p>
        </w:tc>
      </w:tr>
      <w:tr>
        <w:tc>
          <w:tcPr>
            <w:tcW w:type="dxa" w:w="2880"/>
          </w:tcPr>
          <w:p>
            <w:r>
              <w:t>Technology Strategy</w:t>
            </w:r>
          </w:p>
        </w:tc>
        <w:tc>
          <w:tcPr>
            <w:tcW w:type="dxa" w:w="2880"/>
          </w:tcPr>
          <w:p>
            <w:r>
              <w:t>Influence long-term technical roadmap aligned with business goals.</w:t>
            </w:r>
          </w:p>
        </w:tc>
        <w:tc>
          <w:tcPr>
            <w:tcW w:type="dxa" w:w="2880"/>
          </w:tcPr>
          <w:p>
            <w:r>
              <w:t>• 3+ year tech strategy delivered.</w:t>
              <w:br/>
              <w:t>• Adoption of new technologies that improve efficiency.</w:t>
            </w:r>
          </w:p>
        </w:tc>
      </w:tr>
      <w:tr>
        <w:tc>
          <w:tcPr>
            <w:tcW w:type="dxa" w:w="2880"/>
          </w:tcPr>
          <w:p>
            <w:r>
              <w:t>Cross-Team Technical Alignment</w:t>
            </w:r>
          </w:p>
        </w:tc>
        <w:tc>
          <w:tcPr>
            <w:tcW w:type="dxa" w:w="2880"/>
          </w:tcPr>
          <w:p>
            <w:r>
              <w:t>Ensure consistent engineering practices across teams.</w:t>
            </w:r>
          </w:p>
        </w:tc>
        <w:tc>
          <w:tcPr>
            <w:tcW w:type="dxa" w:w="2880"/>
          </w:tcPr>
          <w:p>
            <w:r>
              <w:t>• &gt;90% compliance with coding/testing standards.</w:t>
              <w:br/>
              <w:t>• &lt;2 escalations due to misaligned practices.</w:t>
            </w:r>
          </w:p>
        </w:tc>
      </w:tr>
      <w:tr>
        <w:tc>
          <w:tcPr>
            <w:tcW w:type="dxa" w:w="2880"/>
          </w:tcPr>
          <w:p>
            <w:r>
              <w:t>Problem Solving</w:t>
            </w:r>
          </w:p>
        </w:tc>
        <w:tc>
          <w:tcPr>
            <w:tcW w:type="dxa" w:w="2880"/>
          </w:tcPr>
          <w:p>
            <w:r>
              <w:t>Resolve the most complex technical challenges.</w:t>
            </w:r>
          </w:p>
        </w:tc>
        <w:tc>
          <w:tcPr>
            <w:tcW w:type="dxa" w:w="2880"/>
          </w:tcPr>
          <w:p>
            <w:r>
              <w:t>• 100% RCA documented for P0/P1 incidents.</w:t>
              <w:br/>
              <w:t>• No recurrence of critical production issues.</w:t>
            </w:r>
          </w:p>
        </w:tc>
      </w:tr>
      <w:tr>
        <w:tc>
          <w:tcPr>
            <w:tcW w:type="dxa" w:w="2880"/>
          </w:tcPr>
          <w:p>
            <w:r>
              <w:t>Mentorship</w:t>
            </w:r>
          </w:p>
        </w:tc>
        <w:tc>
          <w:tcPr>
            <w:tcW w:type="dxa" w:w="2880"/>
          </w:tcPr>
          <w:p>
            <w:r>
              <w:t>Coach Leads, Senior Engineers, and Engineers.</w:t>
            </w:r>
          </w:p>
        </w:tc>
        <w:tc>
          <w:tcPr>
            <w:tcW w:type="dxa" w:w="2880"/>
          </w:tcPr>
          <w:p>
            <w:r>
              <w:t>• At least 3 mentees show career progression annually.</w:t>
              <w:br/>
              <w:t>• Positive 360° mentorship feedback.</w:t>
            </w:r>
          </w:p>
        </w:tc>
      </w:tr>
      <w:tr>
        <w:tc>
          <w:tcPr>
            <w:tcW w:type="dxa" w:w="2880"/>
          </w:tcPr>
          <w:p>
            <w:r>
              <w:t>Innovation &amp; IP Creation</w:t>
            </w:r>
          </w:p>
        </w:tc>
        <w:tc>
          <w:tcPr>
            <w:tcW w:type="dxa" w:w="2880"/>
          </w:tcPr>
          <w:p>
            <w:r>
              <w:t>Drive innovation, publish whitepapers, or file patents.</w:t>
            </w:r>
          </w:p>
        </w:tc>
        <w:tc>
          <w:tcPr>
            <w:tcW w:type="dxa" w:w="2880"/>
          </w:tcPr>
          <w:p>
            <w:r>
              <w:t>• At least 1 innovation/IP contribution yearly.</w:t>
              <w:br/>
              <w:t>• Conference talks, blogs, or thought leadership.</w:t>
            </w:r>
          </w:p>
        </w:tc>
      </w:tr>
    </w:tbl>
    <w:p>
      <w:pPr>
        <w:pStyle w:val="Heading2"/>
      </w:pPr>
      <w:r>
        <w:t>Core Values (Taazaa)</w:t>
      </w:r>
    </w:p>
    <w:p>
      <w:pPr>
        <w:pStyle w:val="ListBullet"/>
      </w:pPr>
      <w:r>
        <w:t>Ownership – Take complete accountability for architectural soundness and scalability.</w:t>
      </w:r>
    </w:p>
    <w:p>
      <w:pPr>
        <w:pStyle w:val="ListBullet"/>
      </w:pPr>
      <w:r>
        <w:t>Collaboration – Align with stakeholders, guide teams with empathy.</w:t>
      </w:r>
    </w:p>
    <w:p>
      <w:pPr>
        <w:pStyle w:val="ListBullet"/>
      </w:pPr>
      <w:r>
        <w:t>Discipline – Enforce engineering excellence and architectural rigor.</w:t>
      </w:r>
    </w:p>
    <w:p>
      <w:pPr>
        <w:pStyle w:val="ListBullet"/>
      </w:pPr>
      <w:r>
        <w:t>Agility – Adapt architectures to evolving product and business needs.</w:t>
      </w:r>
    </w:p>
    <w:p>
      <w:pPr>
        <w:pStyle w:val="ListBullet"/>
      </w:pPr>
      <w:r>
        <w:t>Communication – Translate complex technical ideas into business impact.</w:t>
      </w:r>
    </w:p>
    <w:p>
      <w:pPr>
        <w:pStyle w:val="ListBullet"/>
      </w:pPr>
      <w:r>
        <w:t>Problem Solving – Solve the hardest technical challenges with creativity.</w:t>
      </w:r>
    </w:p>
    <w:p>
      <w:pPr>
        <w:pStyle w:val="Heading2"/>
      </w:pPr>
      <w:r>
        <w:t>Key Competencies</w:t>
      </w:r>
    </w:p>
    <w:p>
      <w:pPr>
        <w:pStyle w:val="ListBullet"/>
      </w:pPr>
      <w:r>
        <w:t>Expertise in distributed systems, cloud-native architectures, and security.</w:t>
      </w:r>
    </w:p>
    <w:p>
      <w:pPr>
        <w:pStyle w:val="ListBullet"/>
      </w:pPr>
      <w:r>
        <w:t>Designing and scaling systems for millions of users.</w:t>
      </w:r>
    </w:p>
    <w:p>
      <w:pPr>
        <w:pStyle w:val="ListBullet"/>
      </w:pPr>
      <w:r>
        <w:t>Performance optimization, DevOps, and CI/CD mastery.</w:t>
      </w:r>
    </w:p>
    <w:p>
      <w:pPr>
        <w:pStyle w:val="ListBullet"/>
      </w:pPr>
      <w:r>
        <w:t>Strong research mindset to forecast tech trends.</w:t>
      </w:r>
    </w:p>
    <w:p>
      <w:pPr>
        <w:pStyle w:val="ListBullet"/>
      </w:pPr>
      <w:r>
        <w:t>Mentorship and technical leadership across multiple teams.</w:t>
      </w:r>
    </w:p>
    <w:p>
      <w:pPr>
        <w:pStyle w:val="ListBullet"/>
      </w:pPr>
      <w:r>
        <w:t>Cross-functional collaboration with Product, Design, and Business leaders.</w:t>
      </w:r>
    </w:p>
    <w:p>
      <w:pPr>
        <w:pStyle w:val="Heading2"/>
      </w:pPr>
      <w:r>
        <w:t>Success Planning (30-60-90 Days)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Timeframe</w:t>
            </w:r>
          </w:p>
        </w:tc>
        <w:tc>
          <w:tcPr>
            <w:tcW w:type="dxa" w:w="2880"/>
          </w:tcPr>
          <w:p>
            <w:r>
              <w:t>Focus Areas</w:t>
            </w:r>
          </w:p>
        </w:tc>
        <w:tc>
          <w:tcPr>
            <w:tcW w:type="dxa" w:w="2880"/>
          </w:tcPr>
          <w:p>
            <w:r>
              <w:t>Indicators of Success</w:t>
            </w:r>
          </w:p>
        </w:tc>
      </w:tr>
      <w:tr>
        <w:tc>
          <w:tcPr>
            <w:tcW w:type="dxa" w:w="2880"/>
          </w:tcPr>
          <w:p>
            <w:r>
              <w:t>30 Days</w:t>
            </w:r>
          </w:p>
        </w:tc>
        <w:tc>
          <w:tcPr>
            <w:tcW w:type="dxa" w:w="2880"/>
          </w:tcPr>
          <w:p>
            <w:r>
              <w:t>Understand current architectures, identify gaps, align with business goals.</w:t>
            </w:r>
          </w:p>
        </w:tc>
        <w:tc>
          <w:tcPr>
            <w:tcW w:type="dxa" w:w="2880"/>
          </w:tcPr>
          <w:p>
            <w:r>
              <w:t>• Architecture assessment delivered.</w:t>
              <w:br/>
              <w:t>• 2–3 improvement areas identified.</w:t>
            </w:r>
          </w:p>
        </w:tc>
      </w:tr>
      <w:tr>
        <w:tc>
          <w:tcPr>
            <w:tcW w:type="dxa" w:w="2880"/>
          </w:tcPr>
          <w:p>
            <w:r>
              <w:t>60 Days</w:t>
            </w:r>
          </w:p>
        </w:tc>
        <w:tc>
          <w:tcPr>
            <w:tcW w:type="dxa" w:w="2880"/>
          </w:tcPr>
          <w:p>
            <w:r>
              <w:t>Drive architectural redesign for high-priority systems; start mentorship cycles.</w:t>
            </w:r>
          </w:p>
        </w:tc>
        <w:tc>
          <w:tcPr>
            <w:tcW w:type="dxa" w:w="2880"/>
          </w:tcPr>
          <w:p>
            <w:r>
              <w:t>• Major redesign plan approved.</w:t>
              <w:br/>
              <w:t>• Mentorship program launched.</w:t>
            </w:r>
          </w:p>
        </w:tc>
      </w:tr>
      <w:tr>
        <w:tc>
          <w:tcPr>
            <w:tcW w:type="dxa" w:w="2880"/>
          </w:tcPr>
          <w:p>
            <w:r>
              <w:t>90 Days</w:t>
            </w:r>
          </w:p>
        </w:tc>
        <w:tc>
          <w:tcPr>
            <w:tcW w:type="dxa" w:w="2880"/>
          </w:tcPr>
          <w:p>
            <w:r>
              <w:t>Influence roadmap, resolve critical tech debt, establish best practices org-wide.</w:t>
            </w:r>
          </w:p>
        </w:tc>
        <w:tc>
          <w:tcPr>
            <w:tcW w:type="dxa" w:w="2880"/>
          </w:tcPr>
          <w:p>
            <w:r>
              <w:t>• Predictability &gt;90% in delivery.</w:t>
              <w:br/>
              <w:t>• Cross-team consistency established.</w:t>
            </w:r>
          </w:p>
        </w:tc>
      </w:tr>
    </w:tbl>
    <w:p>
      <w:pPr>
        <w:pStyle w:val="Heading2"/>
      </w:pPr>
      <w:r>
        <w:t>Dependencies</w:t>
      </w:r>
    </w:p>
    <w:p>
      <w:pPr>
        <w:pStyle w:val="ListBullet"/>
      </w:pPr>
      <w:r>
        <w:t>Alignment with Product and Business leadership on priorities.</w:t>
      </w:r>
    </w:p>
    <w:p>
      <w:pPr>
        <w:pStyle w:val="ListBullet"/>
      </w:pPr>
      <w:r>
        <w:t>Availability of skilled technical leads to implement architecture.</w:t>
      </w:r>
    </w:p>
    <w:p>
      <w:pPr>
        <w:pStyle w:val="ListBullet"/>
      </w:pPr>
      <w:r>
        <w:t>Access to system performance and usage analytics.</w:t>
      </w:r>
    </w:p>
    <w:p>
      <w:pPr>
        <w:pStyle w:val="Heading2"/>
      </w:pPr>
      <w:r>
        <w:t>Blockers &amp; Mitigation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Blocker</w:t>
            </w:r>
          </w:p>
        </w:tc>
        <w:tc>
          <w:tcPr>
            <w:tcW w:type="dxa" w:w="2880"/>
          </w:tcPr>
          <w:p>
            <w:r>
              <w:t>How It Shows Up</w:t>
            </w:r>
          </w:p>
        </w:tc>
        <w:tc>
          <w:tcPr>
            <w:tcW w:type="dxa" w:w="2880"/>
          </w:tcPr>
          <w:p>
            <w:r>
              <w:t>Mitigation Plan</w:t>
            </w:r>
          </w:p>
        </w:tc>
      </w:tr>
      <w:tr>
        <w:tc>
          <w:tcPr>
            <w:tcW w:type="dxa" w:w="2880"/>
          </w:tcPr>
          <w:p>
            <w:r>
              <w:t>Resistance to Change</w:t>
            </w:r>
          </w:p>
        </w:tc>
        <w:tc>
          <w:tcPr>
            <w:tcW w:type="dxa" w:w="2880"/>
          </w:tcPr>
          <w:p>
            <w:r>
              <w:t>Teams reluctant to adopt new practices.</w:t>
            </w:r>
          </w:p>
        </w:tc>
        <w:tc>
          <w:tcPr>
            <w:tcW w:type="dxa" w:w="2880"/>
          </w:tcPr>
          <w:p>
            <w:r>
              <w:t>Run workshops; demonstrate ROI of changes.</w:t>
            </w:r>
          </w:p>
        </w:tc>
      </w:tr>
      <w:tr>
        <w:tc>
          <w:tcPr>
            <w:tcW w:type="dxa" w:w="2880"/>
          </w:tcPr>
          <w:p>
            <w:r>
              <w:t>Skill Gaps</w:t>
            </w:r>
          </w:p>
        </w:tc>
        <w:tc>
          <w:tcPr>
            <w:tcW w:type="dxa" w:w="2880"/>
          </w:tcPr>
          <w:p>
            <w:r>
              <w:t>Teams unable to implement advanced architectures.</w:t>
            </w:r>
          </w:p>
        </w:tc>
        <w:tc>
          <w:tcPr>
            <w:tcW w:type="dxa" w:w="2880"/>
          </w:tcPr>
          <w:p>
            <w:r>
              <w:t>Provide training; temporarily bring in external experts.</w:t>
            </w:r>
          </w:p>
        </w:tc>
      </w:tr>
      <w:tr>
        <w:tc>
          <w:tcPr>
            <w:tcW w:type="dxa" w:w="2880"/>
          </w:tcPr>
          <w:p>
            <w:r>
              <w:t>Unclear Business Priorities</w:t>
            </w:r>
          </w:p>
        </w:tc>
        <w:tc>
          <w:tcPr>
            <w:tcW w:type="dxa" w:w="2880"/>
          </w:tcPr>
          <w:p>
            <w:r>
              <w:t>Architecture delayed due to shifting goals.</w:t>
            </w:r>
          </w:p>
        </w:tc>
        <w:tc>
          <w:tcPr>
            <w:tcW w:type="dxa" w:w="2880"/>
          </w:tcPr>
          <w:p>
            <w:r>
              <w:t>Regular leadership syncs to clarify roadmap.</w:t>
            </w:r>
          </w:p>
        </w:tc>
      </w:tr>
    </w:tbl>
    <w:p>
      <w:pPr>
        <w:pStyle w:val="Heading2"/>
      </w:pPr>
      <w:r>
        <w:t>Enablers</w:t>
      </w:r>
    </w:p>
    <w:p>
      <w:pPr>
        <w:pStyle w:val="ListBullet"/>
      </w:pPr>
      <w:r>
        <w:t>Support: CTO, Engineering Managers</w:t>
      </w:r>
    </w:p>
    <w:p>
      <w:pPr>
        <w:pStyle w:val="ListBullet"/>
      </w:pPr>
      <w:r>
        <w:t>Resources: Architecture review boards, reusable libraries, performance monitoring tools</w:t>
      </w:r>
    </w:p>
    <w:p>
      <w:pPr>
        <w:pStyle w:val="ListBullet"/>
      </w:pPr>
      <w:r>
        <w:t>Systems: Cloud platforms (AWS/Azure/GCP), observability stacks, CI/CD pipelines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webSettings" Target="webSettings.xml"/><Relationship Id="rId1" Type="http://schemas.openxmlformats.org/officeDocument/2006/relationships/customXml" Target="../customXml/item1.xml"/><Relationship Id="rId11" Type="http://schemas.openxmlformats.org/officeDocument/2006/relationships/customXml" Target="../customXml/item4.xml"/><Relationship Id="rId5" Type="http://schemas.openxmlformats.org/officeDocument/2006/relationships/settings" Target="settings.xml"/><Relationship Id="rId10" Type="http://schemas.openxmlformats.org/officeDocument/2006/relationships/customXml" Target="../customXml/item3.xml"/><Relationship Id="rId4" Type="http://schemas.microsoft.com/office/2007/relationships/stylesWithEffects" Target="stylesWithEffects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BBF874914348A45BF36919260785F8A" ma:contentTypeVersion="19" ma:contentTypeDescription="Create a new document." ma:contentTypeScope="" ma:versionID="48ca28a3184e24136fbd3636374e5f94">
  <xsd:schema xmlns:xsd="http://www.w3.org/2001/XMLSchema" xmlns:xs="http://www.w3.org/2001/XMLSchema" xmlns:p="http://schemas.microsoft.com/office/2006/metadata/properties" xmlns:ns2="2ad2c338-b475-49c5-ba31-4f1308e1722e" xmlns:ns3="1e496844-d79a-41fc-9d12-0a04358d9c75" targetNamespace="http://schemas.microsoft.com/office/2006/metadata/properties" ma:root="true" ma:fieldsID="22c63c6561996302e0199c0c7649977e" ns2:_="" ns3:_="">
    <xsd:import namespace="2ad2c338-b475-49c5-ba31-4f1308e1722e"/>
    <xsd:import namespace="1e496844-d79a-41fc-9d12-0a04358d9c7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DateTaken" minOccurs="0"/>
                <xsd:element ref="ns2:MediaServiceLocation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MediaServiceObjectDetectorVersions" minOccurs="0"/>
                <xsd:element ref="ns2:MediaLengthInSecond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ad2c338-b475-49c5-ba31-4f1308e172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ternalName="MediaServiceDateTaken" ma:readOnly="true">
      <xsd:simpleType>
        <xsd:restriction base="dms:Text"/>
      </xsd:simpleType>
    </xsd:element>
    <xsd:element name="MediaServiceLocation" ma:index="11" nillable="true" ma:displayName="Location" ma:internalName="MediaServiceLocation" ma:readOnly="true">
      <xsd:simpleType>
        <xsd:restriction base="dms:Text"/>
      </xsd:simpleType>
    </xsd:element>
    <xsd:element name="MediaServiceOCR" ma:index="12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20" nillable="true" ma:taxonomy="true" ma:internalName="lcf76f155ced4ddcb4097134ff3c332f" ma:taxonomyFieldName="MediaServiceImageTags" ma:displayName="Image Tags" ma:readOnly="false" ma:fieldId="{5cf76f15-5ced-4ddc-b409-7134ff3c332f}" ma:taxonomyMulti="true" ma:sspId="d7839d06-049d-4209-aea1-b6cda924641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23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LengthInSeconds" ma:index="2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25" nillable="true" ma:displayName="MediaServiceBillingMetadata" ma:hidden="true" ma:internalName="MediaServiceBillingMetadata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e496844-d79a-41fc-9d12-0a04358d9c75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1" nillable="true" ma:displayName="Taxonomy Catch All Column" ma:hidden="true" ma:list="{6f0eaf60-124a-4cf7-b6b7-0b5199326955}" ma:internalName="TaxCatchAll" ma:showField="CatchAllData" ma:web="1e496844-d79a-41fc-9d12-0a04358d9c7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1e496844-d79a-41fc-9d12-0a04358d9c75" xsi:nil="true"/>
    <lcf76f155ced4ddcb4097134ff3c332f xmlns="2ad2c338-b475-49c5-ba31-4f1308e1722e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79C85D9-D51B-43FC-AEEB-02BBB3B1BEFF}"/>
</file>

<file path=customXml/itemProps3.xml><?xml version="1.0" encoding="utf-8"?>
<ds:datastoreItem xmlns:ds="http://schemas.openxmlformats.org/officeDocument/2006/customXml" ds:itemID="{B5B4C8D8-ACD7-4464-93A6-467B48DC366E}"/>
</file>

<file path=customXml/itemProps4.xml><?xml version="1.0" encoding="utf-8"?>
<ds:datastoreItem xmlns:ds="http://schemas.openxmlformats.org/officeDocument/2006/customXml" ds:itemID="{50DD5E30-E693-42B5-81F6-2E44C5E3F91A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0x010100FBBF874914348A45BF36919260785F8A</vt:lpwstr>
  </property>
</Properties>
</file>