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intelligence2.xml" ContentType="application/vnd.ms-office.intelligence2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14:paraId="69737262" wp14:textId="77777777">
      <w:pPr>
        <w:pStyle w:val="Heading1"/>
      </w:pPr>
      <w:r>
        <w:t>Technical Architect - Roles &amp; Responsibilities</w:t>
      </w:r>
    </w:p>
    <w:p xmlns:wp14="http://schemas.microsoft.com/office/word/2010/wordml" w14:paraId="12B7DE1C" wp14:textId="77777777">
      <w:pPr>
        <w:pStyle w:val="Heading2"/>
      </w:pPr>
      <w:r>
        <w:t>Mission</w:t>
      </w:r>
    </w:p>
    <w:p xmlns:wp14="http://schemas.microsoft.com/office/word/2010/wordml" w14:paraId="760CA740" wp14:textId="77777777">
      <w:r>
        <w:t>Ensure scalable, secure, and compliant architecture for products while enabling delivery velocity and reducing technical debt.</w:t>
      </w:r>
    </w:p>
    <w:p xmlns:wp14="http://schemas.microsoft.com/office/word/2010/wordml" w14:paraId="08423271" wp14:textId="77777777">
      <w:pPr>
        <w:pStyle w:val="Heading2"/>
      </w:pPr>
      <w:r>
        <w:t>Summary</w:t>
      </w:r>
    </w:p>
    <w:p xmlns:wp14="http://schemas.microsoft.com/office/word/2010/wordml" w14:paraId="51A0F3C7" wp14:textId="77777777">
      <w:r>
        <w:t>- Own solution blueprints and architectural patterns.</w:t>
      </w:r>
    </w:p>
    <w:p xmlns:wp14="http://schemas.microsoft.com/office/word/2010/wordml" w14:paraId="3BDD85D0" wp14:textId="77777777">
      <w:r>
        <w:t>- Ensure compliance with scalability, performance, and security standards.</w:t>
      </w:r>
    </w:p>
    <w:p xmlns:wp14="http://schemas.microsoft.com/office/word/2010/wordml" w14:paraId="35500A0F" wp14:textId="77777777">
      <w:r>
        <w:t>- Mentor engineers on architecture governance and checkpoints.</w:t>
      </w:r>
    </w:p>
    <w:p xmlns:wp14="http://schemas.microsoft.com/office/word/2010/wordml" w14:paraId="0CB84FAA" wp14:textId="77777777">
      <w:r>
        <w:t>- Drive delivery predictability through proactive risk identification and mitigation.</w:t>
      </w:r>
    </w:p>
    <w:p xmlns:wp14="http://schemas.microsoft.com/office/word/2010/wordml" w14:paraId="1CE60DFC" wp14:textId="77777777">
      <w:pPr>
        <w:pStyle w:val="Heading2"/>
      </w:pPr>
      <w:r>
        <w:t>Accountabilities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xmlns:wp14="http://schemas.microsoft.com/office/word/2010/wordml" w14:paraId="09AED874" wp14:textId="77777777">
        <w:tc>
          <w:tcPr>
            <w:tcW w:w="5400" w:type="dxa"/>
          </w:tcPr>
          <w:p w14:paraId="5C01E517" wp14:textId="77777777">
            <w:r>
              <w:t>Outcome Area</w:t>
            </w:r>
          </w:p>
        </w:tc>
        <w:tc>
          <w:tcPr>
            <w:tcW w:w="5400" w:type="dxa"/>
          </w:tcPr>
          <w:p w14:paraId="03DECD36" wp14:textId="77777777">
            <w:r>
              <w:t>Metric</w:t>
            </w:r>
          </w:p>
        </w:tc>
      </w:tr>
      <w:tr xmlns:wp14="http://schemas.microsoft.com/office/word/2010/wordml" w14:paraId="5090F31F" wp14:textId="77777777">
        <w:tc>
          <w:tcPr>
            <w:tcW w:w="5400" w:type="dxa"/>
          </w:tcPr>
          <w:p w14:paraId="2EBAEF33" wp14:textId="77777777">
            <w:r>
              <w:t>Application performance</w:t>
            </w:r>
          </w:p>
        </w:tc>
        <w:tc>
          <w:tcPr>
            <w:tcW w:w="5400" w:type="dxa"/>
          </w:tcPr>
          <w:p w14:paraId="2B1AAF20" wp14:textId="77777777">
            <w:r>
              <w:t>API response &lt;200ms, &lt;5 min downtime/quarter</w:t>
            </w:r>
          </w:p>
        </w:tc>
      </w:tr>
      <w:tr xmlns:wp14="http://schemas.microsoft.com/office/word/2010/wordml" w14:paraId="0C88F233" wp14:textId="77777777">
        <w:tc>
          <w:tcPr>
            <w:tcW w:w="5400" w:type="dxa"/>
          </w:tcPr>
          <w:p w14:paraId="2D7C1645" wp14:textId="77777777">
            <w:r>
              <w:t>Delivery excellence</w:t>
            </w:r>
          </w:p>
        </w:tc>
        <w:tc>
          <w:tcPr>
            <w:tcW w:w="5400" w:type="dxa"/>
          </w:tcPr>
          <w:p w14:paraId="2B2957F9" wp14:textId="77777777">
            <w:r>
              <w:t>90% on-time, bug-free delivery</w:t>
            </w:r>
          </w:p>
        </w:tc>
      </w:tr>
      <w:tr xmlns:wp14="http://schemas.microsoft.com/office/word/2010/wordml" w14:paraId="4DF8065A" wp14:textId="77777777">
        <w:tc>
          <w:tcPr>
            <w:tcW w:w="5400" w:type="dxa"/>
          </w:tcPr>
          <w:p w14:paraId="1CAB5177" wp14:textId="77777777">
            <w:r>
              <w:t>Architecture governance</w:t>
            </w:r>
          </w:p>
        </w:tc>
        <w:tc>
          <w:tcPr>
            <w:tcW w:w="5400" w:type="dxa"/>
          </w:tcPr>
          <w:p w14:paraId="5E3E2670" wp14:textId="77777777">
            <w:r>
              <w:t>100% compliance to coding &amp; documentation standards</w:t>
            </w:r>
          </w:p>
        </w:tc>
      </w:tr>
      <w:tr xmlns:wp14="http://schemas.microsoft.com/office/word/2010/wordml" w14:paraId="15542326" wp14:textId="77777777">
        <w:tc>
          <w:tcPr>
            <w:tcW w:w="5400" w:type="dxa"/>
          </w:tcPr>
          <w:p w14:paraId="16E62F3C" wp14:textId="77777777">
            <w:r>
              <w:t>Team enablement</w:t>
            </w:r>
          </w:p>
        </w:tc>
        <w:tc>
          <w:tcPr>
            <w:tcW w:w="5400" w:type="dxa"/>
          </w:tcPr>
          <w:p w14:paraId="1B2A987F" wp14:textId="77777777">
            <w:r>
              <w:t>2+ trainings per year, mentoring Tier-2 engineers</w:t>
            </w:r>
          </w:p>
        </w:tc>
      </w:tr>
      <w:tr xmlns:wp14="http://schemas.microsoft.com/office/word/2010/wordml" w14:paraId="67A8542D" wp14:textId="77777777">
        <w:tc>
          <w:tcPr>
            <w:tcW w:w="5400" w:type="dxa"/>
          </w:tcPr>
          <w:p w14:paraId="3869A6A7" wp14:textId="77777777">
            <w:r>
              <w:t>Innovation</w:t>
            </w:r>
          </w:p>
        </w:tc>
        <w:tc>
          <w:tcPr>
            <w:tcW w:w="5400" w:type="dxa"/>
          </w:tcPr>
          <w:p w14:paraId="7D6CB0D4" wp14:textId="77777777">
            <w:r>
              <w:t>1 major feature/POC per year</w:t>
            </w:r>
          </w:p>
        </w:tc>
      </w:tr>
    </w:tbl>
    <w:p xmlns:wp14="http://schemas.microsoft.com/office/word/2010/wordml" w14:paraId="6C43F06C" wp14:textId="77777777">
      <w:pPr>
        <w:pStyle w:val="Heading2"/>
      </w:pPr>
      <w:r>
        <w:t>Core Values</w:t>
      </w:r>
    </w:p>
    <w:p xmlns:wp14="http://schemas.microsoft.com/office/word/2010/wordml" w14:paraId="157D51AF" wp14:textId="77777777">
      <w:r>
        <w:t>Ownership: Drives delivery with accountability, doesn’t pass the buck.</w:t>
      </w:r>
    </w:p>
    <w:p xmlns:wp14="http://schemas.microsoft.com/office/word/2010/wordml" w14:paraId="3CA89728" wp14:textId="77777777">
      <w:r>
        <w:t>Collaboration: Creates psychological safety across teams, resolves misalignments proactively.</w:t>
      </w:r>
    </w:p>
    <w:p xmlns:wp14="http://schemas.microsoft.com/office/word/2010/wordml" w14:paraId="4C067905" wp14:textId="77777777">
      <w:r>
        <w:t>Discipline: Rigorously follows plans, processes, and timelines.</w:t>
      </w:r>
    </w:p>
    <w:p xmlns:wp14="http://schemas.microsoft.com/office/word/2010/wordml" w14:paraId="2621F283" wp14:textId="77777777">
      <w:r>
        <w:t>Agility: Adjusts plans dynamically without losing delivery momentum.</w:t>
      </w:r>
    </w:p>
    <w:p xmlns:wp14="http://schemas.microsoft.com/office/word/2010/wordml" w14:paraId="492C19D7" wp14:textId="77777777">
      <w:r>
        <w:t>Communication: Provides clarity upward, downward, and sideways — succinct and timely.</w:t>
      </w:r>
    </w:p>
    <w:p xmlns:wp14="http://schemas.microsoft.com/office/word/2010/wordml" w14:paraId="107EF89C" wp14:textId="77777777">
      <w:r>
        <w:t>Problem Solving: Solves for delivery gaps without blame or excuses.</w:t>
      </w:r>
    </w:p>
    <w:p xmlns:wp14="http://schemas.microsoft.com/office/word/2010/wordml" w14:paraId="2A76651A" wp14:textId="77777777">
      <w:pPr>
        <w:pStyle w:val="Heading2"/>
      </w:pPr>
      <w:r>
        <w:t>Key Competencies</w:t>
      </w:r>
    </w:p>
    <w:p xmlns:wp14="http://schemas.microsoft.com/office/word/2010/wordml" w14:paraId="751219E9" wp14:textId="77777777">
      <w:r>
        <w:t>- Solution Design &amp; Blueprinting (C4/UML)</w:t>
      </w:r>
    </w:p>
    <w:p xmlns:wp14="http://schemas.microsoft.com/office/word/2010/wordml" w14:paraId="4B4B8F11" wp14:textId="77777777">
      <w:r>
        <w:t>- Risk &amp; Compliance Management</w:t>
      </w:r>
    </w:p>
    <w:p xmlns:wp14="http://schemas.microsoft.com/office/word/2010/wordml" w14:paraId="321301C4" wp14:textId="77777777">
      <w:r>
        <w:t>- Cross-Functional Alignment</w:t>
      </w:r>
    </w:p>
    <w:p xmlns:wp14="http://schemas.microsoft.com/office/word/2010/wordml" w14:paraId="44188264" wp14:textId="77777777">
      <w:r>
        <w:t>- Coaching &amp; Training Engineers</w:t>
      </w:r>
    </w:p>
    <w:p xmlns:wp14="http://schemas.microsoft.com/office/word/2010/wordml" w14:paraId="6FC6CA94" wp14:textId="77777777">
      <w:r>
        <w:t>- Governance &amp; Standards Enforcement</w:t>
      </w:r>
    </w:p>
    <w:p xmlns:wp14="http://schemas.microsoft.com/office/word/2010/wordml" w14:paraId="450FD27A" wp14:textId="77777777">
      <w:pPr>
        <w:pStyle w:val="Heading2"/>
      </w:pPr>
      <w:r>
        <w:t>Success Planning</w:t>
      </w:r>
    </w:p>
    <w:p xmlns:wp14="http://schemas.microsoft.com/office/word/2010/wordml" w14:paraId="5F295B1E" wp14:textId="77777777">
      <w:r>
        <w:t>Most Important Activities:</w:t>
      </w:r>
    </w:p>
    <w:p xmlns:wp14="http://schemas.microsoft.com/office/word/2010/wordml" w14:paraId="28408C35" wp14:textId="77777777">
      <w:r>
        <w:t>- Maintain architecture blueprints</w:t>
      </w:r>
    </w:p>
    <w:p xmlns:wp14="http://schemas.microsoft.com/office/word/2010/wordml" w14:paraId="5CC2405C" wp14:textId="77777777">
      <w:r>
        <w:t>- Audit application health</w:t>
      </w:r>
    </w:p>
    <w:p xmlns:wp14="http://schemas.microsoft.com/office/word/2010/wordml" w14:paraId="0F9FF469" wp14:textId="77777777">
      <w:r>
        <w:t>- Run design clinics</w:t>
      </w:r>
    </w:p>
    <w:p xmlns:wp14="http://schemas.microsoft.com/office/word/2010/wordml" w14:paraId="69BDED4D" wp14:textId="77777777">
      <w:r>
        <w:t>Non-Essential Activities:</w:t>
      </w:r>
    </w:p>
    <w:p xmlns:wp14="http://schemas.microsoft.com/office/word/2010/wordml" w14:paraId="2AB99E2E" wp14:textId="77777777">
      <w:r>
        <w:t>- Deep technical coding unless high-priority POCs</w:t>
      </w:r>
    </w:p>
    <w:p xmlns:wp14="http://schemas.microsoft.com/office/word/2010/wordml" w14:paraId="5A806041" wp14:textId="77777777">
      <w:pPr>
        <w:pStyle w:val="Heading2"/>
      </w:pPr>
      <w:r>
        <w:t>Dependencies</w:t>
      </w:r>
    </w:p>
    <w:p xmlns:wp14="http://schemas.microsoft.com/office/word/2010/wordml" w14:paraId="131F64F5" wp14:textId="77777777">
      <w:r>
        <w:t>Product requirements clarity: Reduces rework or scope creep</w:t>
      </w:r>
    </w:p>
    <w:p xmlns:wp14="http://schemas.microsoft.com/office/word/2010/wordml" w14:paraId="3FF385E7" wp14:textId="77777777">
      <w:r>
        <w:t>Design &amp; Engineering inputs: Delays sprint readiness</w:t>
      </w:r>
    </w:p>
    <w:p xmlns:wp14="http://schemas.microsoft.com/office/word/2010/wordml" w14:paraId="4122EB0E" wp14:textId="77777777">
      <w:r>
        <w:t>Business alignment: Impacts decision-making</w:t>
      </w:r>
    </w:p>
    <w:p xmlns:wp14="http://schemas.microsoft.com/office/word/2010/wordml" w14:paraId="62CDAA66" wp14:textId="77777777">
      <w:pPr>
        <w:pStyle w:val="Heading2"/>
      </w:pPr>
      <w:r>
        <w:t>Blockers &amp; Mitigation Plan</w:t>
      </w:r>
    </w:p>
    <w:p xmlns:wp14="http://schemas.microsoft.com/office/word/2010/wordml" w14:paraId="58F6B7F1" wp14:textId="77777777">
      <w:r>
        <w:t>Shifting Priorities - How it shows: Mid-sprint scope changes | Mitigation: Align upfront with PdM; lock backlog 1 day before sprint</w:t>
      </w:r>
    </w:p>
    <w:p xmlns:wp14="http://schemas.microsoft.com/office/word/2010/wordml" w14:paraId="46224587" wp14:textId="77777777">
      <w:r>
        <w:t>Lack of Documentation - How it shows: Confusion in delivery | Mitigation: Ensure ADRs are mandatory</w:t>
      </w:r>
    </w:p>
    <w:p xmlns:wp14="http://schemas.microsoft.com/office/word/2010/wordml" w14:paraId="156803BF" wp14:textId="77777777">
      <w:r>
        <w:t>Unclear Requirements - How it shows: Rework and bugs | Mitigation: Insist on Definition of Ready</w:t>
      </w:r>
    </w:p>
    <w:p xmlns:wp14="http://schemas.microsoft.com/office/word/2010/wordml" w14:paraId="2900FF92" wp14:textId="77777777">
      <w:pPr>
        <w:pStyle w:val="Heading2"/>
      </w:pPr>
      <w:r>
        <w:t>Enablers</w:t>
      </w:r>
    </w:p>
    <w:p xmlns:wp14="http://schemas.microsoft.com/office/word/2010/wordml" w14:paraId="786BAAF6" wp14:textId="77777777">
      <w:r>
        <w:t>- Updated RACI</w:t>
      </w:r>
    </w:p>
    <w:p xmlns:wp14="http://schemas.microsoft.com/office/word/2010/wordml" w14:paraId="625D2FD6" wp14:textId="77777777">
      <w:r>
        <w:t>- Templates</w:t>
      </w:r>
    </w:p>
    <w:p xmlns:wp14="http://schemas.microsoft.com/office/word/2010/wordml" w14:paraId="563AE93F" wp14:textId="77777777">
      <w:r>
        <w:t>- JIRA</w:t>
      </w:r>
    </w:p>
    <w:p xmlns:wp14="http://schemas.microsoft.com/office/word/2010/wordml" w14:paraId="3D7EC374" wp14:textId="77777777">
      <w:r>
        <w:t>- DevLakes</w:t>
      </w:r>
    </w:p>
    <w:p xmlns:wp14="http://schemas.microsoft.com/office/word/2010/wordml" w14:paraId="3698A6C9" wp14:textId="77777777">
      <w:pPr>
        <w:pStyle w:val="Heading2"/>
      </w:pPr>
      <w:r>
        <w:t>Milestones (30/60/90 Days)</w:t>
      </w:r>
    </w:p>
    <w:p xmlns:wp14="http://schemas.microsoft.com/office/word/2010/wordml" w14:paraId="45AAFB78" wp14:textId="77777777">
      <w:r>
        <w:t>30 Days: Architecture decision records created; module health audit done</w:t>
      </w:r>
    </w:p>
    <w:p xmlns:wp14="http://schemas.microsoft.com/office/word/2010/wordml" w14:paraId="32E9A2CD" wp14:textId="77777777">
      <w:r>
        <w:t>60 Days: Downtime reduced to &lt;5 mins/quarter; sprint predictability &gt;80%</w:t>
      </w:r>
    </w:p>
    <w:p xmlns:wp14="http://schemas.microsoft.com/office/word/2010/wordml" w14:paraId="7852608A" wp14:textId="77777777">
      <w:r>
        <w:t>90 Days: Enterprise standards adopted across modules, stakeholder satisfaction high</w:t>
      </w:r>
    </w:p>
    <w:sectPr w:rsidR="6658B9F1" w:rsidSect="00B24A2A">
      <w:type w:val="continuous"/>
      <w:pgSz w:w="12240" w:h="15840" w:orient="portrait"/>
      <w:pgMar w:top="720" w:right="720" w:bottom="720" w:left="720" w:header="720" w:footer="720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69BE" w:rsidP="00911CA6" w:rsidRDefault="006969BE" w14:paraId="5C4950EE" w14:textId="77777777">
      <w:pPr>
        <w:spacing w:line="240" w:lineRule="auto"/>
      </w:pPr>
      <w:r>
        <w:separator/>
      </w:r>
    </w:p>
  </w:endnote>
  <w:endnote w:type="continuationSeparator" w:id="0">
    <w:p w:rsidR="006969BE" w:rsidP="00911CA6" w:rsidRDefault="006969BE" w14:paraId="761B1231" w14:textId="77777777">
      <w:pPr>
        <w:spacing w:line="240" w:lineRule="auto"/>
      </w:pPr>
      <w:r>
        <w:continuationSeparator/>
      </w:r>
    </w:p>
  </w:endnote>
  <w:endnote w:type="continuationNotice" w:id="1">
    <w:p w:rsidR="006969BE" w:rsidRDefault="006969BE" w14:paraId="1AFDDE4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69BE" w:rsidP="00911CA6" w:rsidRDefault="006969BE" w14:paraId="7B3DC356" w14:textId="77777777">
      <w:pPr>
        <w:spacing w:line="240" w:lineRule="auto"/>
      </w:pPr>
      <w:r>
        <w:separator/>
      </w:r>
    </w:p>
  </w:footnote>
  <w:footnote w:type="continuationSeparator" w:id="0">
    <w:p w:rsidR="006969BE" w:rsidP="00911CA6" w:rsidRDefault="006969BE" w14:paraId="25F9EA29" w14:textId="77777777">
      <w:pPr>
        <w:spacing w:line="240" w:lineRule="auto"/>
      </w:pPr>
      <w:r>
        <w:continuationSeparator/>
      </w:r>
    </w:p>
  </w:footnote>
  <w:footnote w:type="continuationNotice" w:id="1">
    <w:p w:rsidR="006969BE" w:rsidRDefault="006969BE" w14:paraId="2A11B13D" w14:textId="77777777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3" w15:restartNumberingAfterBreak="0">
    <w:nsid w:val="045B3641"/>
    <w:multiLevelType w:val="hybridMultilevel"/>
    <w:tmpl w:val="BDD65FF2"/>
    <w:numStyleLink w:val="IOCBullets"/>
  </w:abstractNum>
  <w:abstractNum w:abstractNumId="4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3D6350"/>
    <w:multiLevelType w:val="multilevel"/>
    <w:tmpl w:val="BDD65FF2"/>
    <w:numStyleLink w:val="IOCBullets"/>
  </w:abstractNum>
  <w:abstractNum w:abstractNumId="6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9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0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2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D985336"/>
    <w:multiLevelType w:val="hybridMultilevel"/>
    <w:tmpl w:val="3A7C2014"/>
    <w:lvl w:ilvl="0" w:tplc="EEF83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6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681CEC"/>
    <w:multiLevelType w:val="multilevel"/>
    <w:tmpl w:val="BDD65FF2"/>
    <w:numStyleLink w:val="IOCBullets"/>
  </w:abstractNum>
  <w:abstractNum w:abstractNumId="24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5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23224">
    <w:abstractNumId w:val="6"/>
  </w:num>
  <w:num w:numId="2" w16cid:durableId="768475163">
    <w:abstractNumId w:val="22"/>
  </w:num>
  <w:num w:numId="3" w16cid:durableId="1635789302">
    <w:abstractNumId w:val="12"/>
  </w:num>
  <w:num w:numId="4" w16cid:durableId="1830637715">
    <w:abstractNumId w:val="4"/>
  </w:num>
  <w:num w:numId="5" w16cid:durableId="571040471">
    <w:abstractNumId w:val="19"/>
  </w:num>
  <w:num w:numId="6" w16cid:durableId="1319774249">
    <w:abstractNumId w:val="20"/>
  </w:num>
  <w:num w:numId="7" w16cid:durableId="1310210856">
    <w:abstractNumId w:val="13"/>
  </w:num>
  <w:num w:numId="8" w16cid:durableId="626549538">
    <w:abstractNumId w:val="21"/>
  </w:num>
  <w:num w:numId="9" w16cid:durableId="384256914">
    <w:abstractNumId w:val="8"/>
  </w:num>
  <w:num w:numId="10" w16cid:durableId="1961959697">
    <w:abstractNumId w:val="8"/>
  </w:num>
  <w:num w:numId="11" w16cid:durableId="1653177388">
    <w:abstractNumId w:val="3"/>
  </w:num>
  <w:num w:numId="12" w16cid:durableId="1094738705">
    <w:abstractNumId w:val="5"/>
  </w:num>
  <w:num w:numId="13" w16cid:durableId="1899439058">
    <w:abstractNumId w:val="23"/>
  </w:num>
  <w:num w:numId="14" w16cid:durableId="166605437">
    <w:abstractNumId w:val="10"/>
  </w:num>
  <w:num w:numId="15" w16cid:durableId="322707703">
    <w:abstractNumId w:val="17"/>
  </w:num>
  <w:num w:numId="16" w16cid:durableId="934827725">
    <w:abstractNumId w:val="7"/>
  </w:num>
  <w:num w:numId="17" w16cid:durableId="1011108434">
    <w:abstractNumId w:val="14"/>
  </w:num>
  <w:num w:numId="18" w16cid:durableId="275990175">
    <w:abstractNumId w:val="18"/>
  </w:num>
  <w:num w:numId="19" w16cid:durableId="1536888091">
    <w:abstractNumId w:val="16"/>
  </w:num>
  <w:num w:numId="20" w16cid:durableId="1125078624">
    <w:abstractNumId w:val="1"/>
  </w:num>
  <w:num w:numId="21" w16cid:durableId="81026872">
    <w:abstractNumId w:val="9"/>
  </w:num>
  <w:num w:numId="22" w16cid:durableId="1542859487">
    <w:abstractNumId w:val="25"/>
  </w:num>
  <w:num w:numId="23" w16cid:durableId="1554461692">
    <w:abstractNumId w:val="11"/>
  </w:num>
  <w:num w:numId="24" w16cid:durableId="1400177008">
    <w:abstractNumId w:val="15"/>
  </w:num>
  <w:num w:numId="25" w16cid:durableId="531311621">
    <w:abstractNumId w:val="2"/>
  </w:num>
  <w:num w:numId="26" w16cid:durableId="665329312">
    <w:abstractNumId w:val="24"/>
  </w:num>
  <w:num w:numId="27" w16cid:durableId="14022165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56F5C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114C7"/>
    <w:rsid w:val="001204C4"/>
    <w:rsid w:val="001366AE"/>
    <w:rsid w:val="001523F7"/>
    <w:rsid w:val="0015264D"/>
    <w:rsid w:val="00157035"/>
    <w:rsid w:val="0016199F"/>
    <w:rsid w:val="00171C7C"/>
    <w:rsid w:val="00176C22"/>
    <w:rsid w:val="001845FC"/>
    <w:rsid w:val="001A77AC"/>
    <w:rsid w:val="001A7FF4"/>
    <w:rsid w:val="001B0EF3"/>
    <w:rsid w:val="001C588E"/>
    <w:rsid w:val="001C60E7"/>
    <w:rsid w:val="001C777C"/>
    <w:rsid w:val="001D1ECC"/>
    <w:rsid w:val="001D31F3"/>
    <w:rsid w:val="001D66B6"/>
    <w:rsid w:val="001E098D"/>
    <w:rsid w:val="001E39F0"/>
    <w:rsid w:val="001E3BA8"/>
    <w:rsid w:val="001E528B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4BF2"/>
    <w:rsid w:val="002D53C3"/>
    <w:rsid w:val="0032651A"/>
    <w:rsid w:val="00326704"/>
    <w:rsid w:val="003365F7"/>
    <w:rsid w:val="00336811"/>
    <w:rsid w:val="00336AC8"/>
    <w:rsid w:val="003373A4"/>
    <w:rsid w:val="003458DF"/>
    <w:rsid w:val="00365BD8"/>
    <w:rsid w:val="00366129"/>
    <w:rsid w:val="00367AC1"/>
    <w:rsid w:val="0038381D"/>
    <w:rsid w:val="003AA62E"/>
    <w:rsid w:val="003B00AD"/>
    <w:rsid w:val="003C3CA3"/>
    <w:rsid w:val="003C678E"/>
    <w:rsid w:val="003E2F90"/>
    <w:rsid w:val="003E3857"/>
    <w:rsid w:val="003E51C4"/>
    <w:rsid w:val="003F2CEC"/>
    <w:rsid w:val="00403335"/>
    <w:rsid w:val="00404102"/>
    <w:rsid w:val="00406700"/>
    <w:rsid w:val="004103DF"/>
    <w:rsid w:val="004123F2"/>
    <w:rsid w:val="004148A7"/>
    <w:rsid w:val="004204C2"/>
    <w:rsid w:val="004275F2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D5D81"/>
    <w:rsid w:val="004E1BC7"/>
    <w:rsid w:val="004E28CA"/>
    <w:rsid w:val="004F098F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719E4"/>
    <w:rsid w:val="006814D9"/>
    <w:rsid w:val="0068576B"/>
    <w:rsid w:val="00692531"/>
    <w:rsid w:val="00692ADC"/>
    <w:rsid w:val="006969BE"/>
    <w:rsid w:val="006B1EB7"/>
    <w:rsid w:val="006C10DB"/>
    <w:rsid w:val="006D37E2"/>
    <w:rsid w:val="006E10EC"/>
    <w:rsid w:val="006E69FB"/>
    <w:rsid w:val="006F2481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51348"/>
    <w:rsid w:val="00753037"/>
    <w:rsid w:val="00753831"/>
    <w:rsid w:val="007607B9"/>
    <w:rsid w:val="007636B6"/>
    <w:rsid w:val="00764AE9"/>
    <w:rsid w:val="00774AC9"/>
    <w:rsid w:val="0077533E"/>
    <w:rsid w:val="007800B1"/>
    <w:rsid w:val="00782419"/>
    <w:rsid w:val="007850E9"/>
    <w:rsid w:val="00791B4A"/>
    <w:rsid w:val="00796B25"/>
    <w:rsid w:val="00797994"/>
    <w:rsid w:val="00797CD2"/>
    <w:rsid w:val="007B3900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64B1"/>
    <w:rsid w:val="00897718"/>
    <w:rsid w:val="008A36A0"/>
    <w:rsid w:val="008B5607"/>
    <w:rsid w:val="008C1833"/>
    <w:rsid w:val="008C74DE"/>
    <w:rsid w:val="008E072D"/>
    <w:rsid w:val="008F2893"/>
    <w:rsid w:val="008F5E6F"/>
    <w:rsid w:val="00901CE9"/>
    <w:rsid w:val="009058FC"/>
    <w:rsid w:val="0091141E"/>
    <w:rsid w:val="00911CA6"/>
    <w:rsid w:val="00912953"/>
    <w:rsid w:val="00916722"/>
    <w:rsid w:val="00920874"/>
    <w:rsid w:val="00936843"/>
    <w:rsid w:val="00955CDA"/>
    <w:rsid w:val="00960C28"/>
    <w:rsid w:val="00974B4B"/>
    <w:rsid w:val="0097575F"/>
    <w:rsid w:val="00975B03"/>
    <w:rsid w:val="00982E47"/>
    <w:rsid w:val="00986FD9"/>
    <w:rsid w:val="00997ED5"/>
    <w:rsid w:val="009A3973"/>
    <w:rsid w:val="009A54FC"/>
    <w:rsid w:val="009A59C9"/>
    <w:rsid w:val="009A6D17"/>
    <w:rsid w:val="009B1C46"/>
    <w:rsid w:val="009B3C7D"/>
    <w:rsid w:val="009C188A"/>
    <w:rsid w:val="009D085E"/>
    <w:rsid w:val="009D0DA2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7B52"/>
    <w:rsid w:val="00A3020E"/>
    <w:rsid w:val="00A472B4"/>
    <w:rsid w:val="00A53EB9"/>
    <w:rsid w:val="00A56555"/>
    <w:rsid w:val="00A61CC3"/>
    <w:rsid w:val="00A6A652"/>
    <w:rsid w:val="00A8736B"/>
    <w:rsid w:val="00A9479C"/>
    <w:rsid w:val="00AC7587"/>
    <w:rsid w:val="00AD0C53"/>
    <w:rsid w:val="00AD36AA"/>
    <w:rsid w:val="00AD75EE"/>
    <w:rsid w:val="00AE3163"/>
    <w:rsid w:val="00AE5A9E"/>
    <w:rsid w:val="00AE60ED"/>
    <w:rsid w:val="00B039EB"/>
    <w:rsid w:val="00B125AF"/>
    <w:rsid w:val="00B17B84"/>
    <w:rsid w:val="00B24A2A"/>
    <w:rsid w:val="00B26E35"/>
    <w:rsid w:val="00B34EDA"/>
    <w:rsid w:val="00B407E4"/>
    <w:rsid w:val="00B4299D"/>
    <w:rsid w:val="00B442F5"/>
    <w:rsid w:val="00B44528"/>
    <w:rsid w:val="00B54A0B"/>
    <w:rsid w:val="00B56909"/>
    <w:rsid w:val="00B60877"/>
    <w:rsid w:val="00B67F66"/>
    <w:rsid w:val="00B73FCD"/>
    <w:rsid w:val="00B87BCC"/>
    <w:rsid w:val="00B94AE6"/>
    <w:rsid w:val="00BA4376"/>
    <w:rsid w:val="00BB177A"/>
    <w:rsid w:val="00BB26CF"/>
    <w:rsid w:val="00BB5130"/>
    <w:rsid w:val="00BB69C8"/>
    <w:rsid w:val="00BC5B27"/>
    <w:rsid w:val="00BD521A"/>
    <w:rsid w:val="00BF5D44"/>
    <w:rsid w:val="00C15823"/>
    <w:rsid w:val="00C223F2"/>
    <w:rsid w:val="00C32414"/>
    <w:rsid w:val="00C34F3F"/>
    <w:rsid w:val="00C466F6"/>
    <w:rsid w:val="00C65BCC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5C71"/>
    <w:rsid w:val="00CF6C9D"/>
    <w:rsid w:val="00CF7F08"/>
    <w:rsid w:val="00D01144"/>
    <w:rsid w:val="00D11F3D"/>
    <w:rsid w:val="00D1286D"/>
    <w:rsid w:val="00D143F8"/>
    <w:rsid w:val="00D21AAF"/>
    <w:rsid w:val="00D27EF3"/>
    <w:rsid w:val="00D31A1A"/>
    <w:rsid w:val="00D32667"/>
    <w:rsid w:val="00D37F60"/>
    <w:rsid w:val="00D42611"/>
    <w:rsid w:val="00D45E20"/>
    <w:rsid w:val="00D75A41"/>
    <w:rsid w:val="00D85FCD"/>
    <w:rsid w:val="00D93625"/>
    <w:rsid w:val="00DA0092"/>
    <w:rsid w:val="00DB0358"/>
    <w:rsid w:val="00DC09A3"/>
    <w:rsid w:val="00DD54E4"/>
    <w:rsid w:val="00DF2154"/>
    <w:rsid w:val="00DF2506"/>
    <w:rsid w:val="00DF6567"/>
    <w:rsid w:val="00DF7094"/>
    <w:rsid w:val="00E032B5"/>
    <w:rsid w:val="00E123AD"/>
    <w:rsid w:val="00E213D5"/>
    <w:rsid w:val="00E258EF"/>
    <w:rsid w:val="00E471CB"/>
    <w:rsid w:val="00E6214C"/>
    <w:rsid w:val="00E671F3"/>
    <w:rsid w:val="00E753F2"/>
    <w:rsid w:val="00E78EE3"/>
    <w:rsid w:val="00E83549"/>
    <w:rsid w:val="00E91A68"/>
    <w:rsid w:val="00E97BA8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36DA"/>
    <w:rsid w:val="00F07C8D"/>
    <w:rsid w:val="00F103B1"/>
    <w:rsid w:val="00F11E17"/>
    <w:rsid w:val="00F27DEE"/>
    <w:rsid w:val="00F34B61"/>
    <w:rsid w:val="00F50C9F"/>
    <w:rsid w:val="00F5435A"/>
    <w:rsid w:val="00F60F98"/>
    <w:rsid w:val="00F67225"/>
    <w:rsid w:val="00F70DFE"/>
    <w:rsid w:val="00F77205"/>
    <w:rsid w:val="00F92351"/>
    <w:rsid w:val="00FA2B2C"/>
    <w:rsid w:val="00FA3B93"/>
    <w:rsid w:val="00FB6867"/>
    <w:rsid w:val="00FC18C0"/>
    <w:rsid w:val="00FC211E"/>
    <w:rsid w:val="00FC27BC"/>
    <w:rsid w:val="00FC296E"/>
    <w:rsid w:val="00FD19D3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42BBDD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AE6"/>
    <w:pPr>
      <w:keepNext/>
      <w:keepLines/>
      <w:spacing w:before="240" w:after="120"/>
      <w:jc w:val="center"/>
      <w:outlineLvl w:val="0"/>
    </w:pPr>
    <w:rPr>
      <w:rFonts w:ascii="Open Sans SemiBold" w:hAnsi="Open Sans SemiBold" w:eastAsia="Times New Roman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hAnsi="Poppins" w:cs="Poppins" w:eastAsiaTheme="majorEastAsia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hAnsi="Open Sans" w:cs="Open Sans" w:eastAsiaTheme="majorEastAsia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B94AE6"/>
    <w:rPr>
      <w:rFonts w:ascii="Open Sans SemiBold" w:hAnsi="Open Sans SemiBold" w:eastAsia="Times New Roman" w:cs="Open Sans SemiBold"/>
      <w: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CD35DD"/>
    <w:rPr>
      <w:rFonts w:ascii="Poppins" w:hAnsi="Poppins" w:cs="Poppins" w:eastAsiaTheme="majorEastAsia"/>
      <w:color w:val="000000" w:themeColor="text1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D85FCD"/>
    <w:rPr>
      <w:rFonts w:ascii="Open Sans" w:hAnsi="Open Sans" w:cs="Open Sans" w:eastAsiaTheme="majorEastAsia"/>
      <w:color w:val="262626" w:themeColor="text1" w:themeTint="D9"/>
      <w:sz w:val="20"/>
      <w:szCs w:val="20"/>
      <w:u w:val="single"/>
    </w:rPr>
  </w:style>
  <w:style w:type="character" w:styleId="Heading5Char" w:customStyle="1">
    <w:name w:val="Heading 5 Char"/>
    <w:aliases w:val="Table Header Char"/>
    <w:basedOn w:val="DefaultParagraphFont"/>
    <w:link w:val="Heading5"/>
    <w:uiPriority w:val="9"/>
    <w:rsid w:val="00A128AB"/>
    <w:rPr>
      <w:rFonts w:ascii="Open Sans" w:hAnsi="Open Sans" w:eastAsiaTheme="majorEastAsia" w:cstheme="majorBidi"/>
      <w:b/>
      <w:color w:val="11151A" w:themeColor="text2" w:themeShade="40"/>
      <w:sz w:val="20"/>
      <w:szCs w:val="21"/>
    </w:rPr>
  </w:style>
  <w:style w:type="numbering" w:styleId="IOCBullets" w:customStyle="1">
    <w:name w:val="IOC Bullets"/>
    <w:uiPriority w:val="99"/>
    <w:rsid w:val="0032651A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styleId="Style1" w:customStyle="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Z" w:customStyle="1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7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3131F4-5DCA-41CA-8F25-CABBDAC926E2}"/>
</file>

<file path=customXml/itemProps2.xml><?xml version="1.0" encoding="utf-8"?>
<ds:datastoreItem xmlns:ds="http://schemas.openxmlformats.org/officeDocument/2006/customXml" ds:itemID="{B83166D9-2923-4E23-8CF4-9A8A293B256C}"/>
</file>

<file path=customXml/itemProps3.xml><?xml version="1.0" encoding="utf-8"?>
<ds:datastoreItem xmlns:ds="http://schemas.openxmlformats.org/officeDocument/2006/customXml" ds:itemID="{9549EE0A-B355-4204-A740-AF72A7BB59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Rohini Rai</cp:lastModifiedBy>
  <cp:revision>3</cp:revision>
  <cp:lastPrinted>2019-07-15T23:47:00Z</cp:lastPrinted>
  <dcterms:created xsi:type="dcterms:W3CDTF">2025-08-07T12:49:00Z</dcterms:created>
  <dcterms:modified xsi:type="dcterms:W3CDTF">2025-08-27T11:07:20Z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