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Charter – Principal SDET</w:t>
      </w:r>
    </w:p>
    <w:p>
      <w:pPr>
        <w:pStyle w:val="Heading2"/>
      </w:pPr>
      <w:r>
        <w:t>Fundamental Role</w:t>
      </w:r>
    </w:p>
    <w:p>
      <w:r>
        <w:t>- Own QA strategy and automation roadmap organization-wide.</w:t>
      </w:r>
    </w:p>
    <w:p>
      <w:r>
        <w:t>- Align QA with business goals, product roadmap, and engineering excellence.</w:t>
      </w:r>
    </w:p>
    <w:p>
      <w:r>
        <w:t>- Drive innovation in quality engineering practices.</w:t>
      </w:r>
    </w:p>
    <w:p>
      <w:pPr>
        <w:pStyle w:val="Heading2"/>
      </w:pPr>
      <w:r>
        <w:t>Key Responsibilities</w:t>
      </w:r>
    </w:p>
    <w:p>
      <w:r>
        <w:t>- Define enterprise-level test automation strategy.</w:t>
      </w:r>
    </w:p>
    <w:p>
      <w:r>
        <w:t>- Collaborate with Engineering leadership for DevOps QA integration.</w:t>
      </w:r>
    </w:p>
    <w:p>
      <w:r>
        <w:t>- Benchmark automation productivity and quality metrics.</w:t>
      </w:r>
    </w:p>
    <w:p>
      <w:r>
        <w:t>- Represent QA in cross-functional leadership discussions.</w:t>
      </w:r>
    </w:p>
    <w:p>
      <w:pPr>
        <w:pStyle w:val="Heading2"/>
      </w:pPr>
      <w:r>
        <w:t>Competencies</w:t>
      </w:r>
    </w:p>
    <w:p>
      <w:r>
        <w:t>- Enterprise-level test strategy and roadmap.</w:t>
      </w:r>
    </w:p>
    <w:p>
      <w:r>
        <w:t>- Deep expertise in scalability, performance, and resilience testing.</w:t>
      </w:r>
    </w:p>
    <w:p>
      <w:r>
        <w:t>- Change management and stakeholder alignment.</w:t>
      </w:r>
    </w:p>
    <w:p>
      <w:r>
        <w:t>- Coaching/mentoring QA leaders.</w:t>
      </w:r>
    </w:p>
    <w:p>
      <w:pPr>
        <w:pStyle w:val="Heading2"/>
      </w:pPr>
      <w:r>
        <w:t>Accountability &amp; Metrics</w:t>
      </w:r>
    </w:p>
    <w:p>
      <w:r>
        <w:t>- Organization-wide automation coverage %.</w:t>
      </w:r>
    </w:p>
    <w:p>
      <w:r>
        <w:t>- Escaped defect rate at org level.</w:t>
      </w:r>
    </w:p>
    <w:p>
      <w:r>
        <w:t>- QA productivity improvement YOY.</w:t>
      </w:r>
    </w:p>
    <w:p>
      <w:r>
        <w:t>- Satisfaction scores from Product/Engineering stakeholders.</w:t>
      </w:r>
    </w:p>
    <w:p>
      <w:pPr>
        <w:pStyle w:val="Heading2"/>
      </w:pPr>
      <w:r>
        <w:t>OKRs</w:t>
      </w:r>
    </w:p>
    <w:p>
      <w:r>
        <w:t>- Achieve 85% automation coverage across products.</w:t>
      </w:r>
    </w:p>
    <w:p>
      <w:r>
        <w:t>- Reduce escaped defects to &lt;2% across releases.</w:t>
      </w:r>
    </w:p>
    <w:p>
      <w:r>
        <w:t>- Implement org-wide QA dashboard with predictive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F8443A-5BEE-4C98-917B-DA9A9C04C1BF}"/>
</file>

<file path=customXml/itemProps3.xml><?xml version="1.0" encoding="utf-8"?>
<ds:datastoreItem xmlns:ds="http://schemas.openxmlformats.org/officeDocument/2006/customXml" ds:itemID="{70C85D6C-B0E5-45D0-AACC-55E814EE9969}"/>
</file>

<file path=customXml/itemProps4.xml><?xml version="1.0" encoding="utf-8"?>
<ds:datastoreItem xmlns:ds="http://schemas.openxmlformats.org/officeDocument/2006/customXml" ds:itemID="{47DFBBD3-3BF2-41F3-9ECD-A4ED5EA54A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