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E5395"/>
          <w:sz w:val="40"/>
          <w:szCs w:val="40"/>
        </w:rPr>
        <w:t xml:space="preserve">Orchestrator API — Architecture Documentation</w:t>
      </w:r>
    </w:p>
    <w:p>
      <w:pPr>
        <w:spacing w:after="120"/>
      </w:pPr>
      <w:r>
        <w:rPr>
          <w:b/>
          <w:bCs/>
        </w:rPr>
        <w:t xml:space="preserve">Project: SAP S/4HANA Localization Requirements Orchestrator</w:t>
      </w:r>
    </w:p>
    <w:p>
      <w:pPr>
        <w:spacing w:after="120"/>
      </w:pPr>
      <w:r>
        <w:t xml:space="preserve">Platform: SAP AI Core (Generative AI Hub)</w:t>
      </w:r>
    </w:p>
    <w:p>
      <w:pPr>
        <w:spacing w:after="120"/>
      </w:pPr>
      <w:r>
        <w:t xml:space="preserve">Author: Shashank Shekhar</w:t>
      </w:r>
    </w:p>
    <w:p>
      <w:pPr>
        <w:spacing w:after="120"/>
      </w:pPr>
      <w:r>
        <w:t xml:space="preserve">Date: [fill in]</w:t>
      </w:r>
    </w:p>
    <w:p>
      <w:pPr>
        <w:spacing w:after="120"/>
      </w:pPr>
      <w:r>
        <w:t xml:space="preserve">Status: [e.g., Phase 3 complete — 7 agents implemented, Austria validated]</w:t>
      </w:r>
    </w:p>
    <w:p>
      <w:pPr>
        <w:pStyle w:val="Heading1"/>
        <w:spacing w:after="150" w:before="300"/>
      </w:pPr>
      <w:r>
        <w:t xml:space="preserve">1. Purpose</w:t>
      </w:r>
    </w:p>
    <w:p>
      <w:pPr>
        <w:spacing w:after="120"/>
      </w:pPr>
      <w:r>
        <w:t xml:space="preserve">This service automates the generation of SAP S/4HANA localization requirement documents for a given country. It replaces a manual, consultant-driven research process with an LLM-based pipeline that produces a structured, multi-sheet Excel workbook containing legal/business requirements, SAP configuration steps, master data needs, statutory reports, implementation sequencing, and test scenarios.</w:t>
      </w:r>
    </w:p>
    <w:p>
      <w:pPr>
        <w:spacing w:after="150"/>
      </w:pPr>
      <w:r>
        <w:t xml:space="preserve">The central design constraint: </w:t>
      </w:r>
      <w:r>
        <w:rPr>
          <w:b/>
          <w:bCs/>
        </w:rPr>
        <w:t xml:space="preserve">legal and compliance content must not be hallucinated.</w:t>
      </w:r>
      <w:r>
        <w:t xml:space="preserve"> The entire architecture is built around minimizing and catching LLM errors before they reach the output file.</w:t>
      </w:r>
    </w:p>
    <w:p>
      <w:pPr>
        <w:pStyle w:val="Heading1"/>
        <w:spacing w:after="150" w:before="300"/>
      </w:pPr>
      <w:r>
        <w:t xml:space="preserve">2. High-Level Architecture</w:t>
      </w:r>
    </w:p>
    <w:p>
      <w:pPr>
        <w:spacing w:after="150" w:before="15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857500"/>
                    </a:xfrm>
                    <a:prstGeom prst="rect">
                      <a:avLst/>
                    </a:prstGeom>
                  </pic:spPr>
                </pic:pic>
              </a:graphicData>
            </a:graphic>
          </wp:inline>
        </w:drawing>
      </w:r>
    </w:p>
    <w:p>
      <w:pPr>
        <w:spacing w:after="120"/>
      </w:pPr>
      <w:r>
        <w:t xml:space="preserve">Text summary: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Client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POST /generate  { "country": "Austria", "sheets":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Flask App (app.py -&gt; create_app(), api/routes.py -- api_bp blueprint, CORS enabled)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Orchestrator Core (core/orchestrator.py)</w:t>
      </w:r>
      <w:r>
        <w:br/>
      </w:r>
      <w:r>
        <w:rPr>
          <w:rFonts w:ascii="Consolas" w:cs="Consolas" w:eastAsia="Consolas" w:hAnsi="Consolas"/>
          <w:sz w:val="18"/>
          <w:szCs w:val="18"/>
        </w:rPr>
        <w:t xml:space="preserve">  - Load country config (country_rules/&lt;country&gt;.yaml)</w:t>
      </w:r>
      <w:r>
        <w:br/>
      </w:r>
      <w:r>
        <w:rPr>
          <w:rFonts w:ascii="Consolas" w:cs="Consolas" w:eastAsia="Consolas" w:hAnsi="Consolas"/>
          <w:sz w:val="18"/>
          <w:szCs w:val="18"/>
        </w:rPr>
        <w:t xml:space="preserve">  - Load L3 master process list (cached, l3_loader.py)</w:t>
      </w:r>
      <w:r>
        <w:br/>
      </w:r>
      <w:r>
        <w:rPr>
          <w:rFonts w:ascii="Consolas" w:cs="Consolas" w:eastAsia="Consolas" w:hAnsi="Consolas"/>
          <w:sz w:val="18"/>
          <w:szCs w:val="18"/>
        </w:rPr>
        <w:t xml:space="preserve">  - Dispatch selected sheet agents in PARALLEL -- asyncio.gather()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+--&gt; Requirement Overview Agent</w:t>
      </w:r>
      <w:r>
        <w:br/>
      </w:r>
      <w:r>
        <w:rPr>
          <w:rFonts w:ascii="Consolas" w:cs="Consolas" w:eastAsia="Consolas" w:hAnsi="Consolas"/>
          <w:sz w:val="18"/>
          <w:szCs w:val="18"/>
        </w:rPr>
        <w:t xml:space="preserve">       +--&gt; Configuration Details Agent</w:t>
      </w:r>
      <w:r>
        <w:br/>
      </w:r>
      <w:r>
        <w:rPr>
          <w:rFonts w:ascii="Consolas" w:cs="Consolas" w:eastAsia="Consolas" w:hAnsi="Consolas"/>
          <w:sz w:val="18"/>
          <w:szCs w:val="18"/>
        </w:rPr>
        <w:t xml:space="preserve">       +--&gt; Master Data Agent</w:t>
      </w:r>
      <w:r>
        <w:br/>
      </w:r>
      <w:r>
        <w:rPr>
          <w:rFonts w:ascii="Consolas" w:cs="Consolas" w:eastAsia="Consolas" w:hAnsi="Consolas"/>
          <w:sz w:val="18"/>
          <w:szCs w:val="18"/>
        </w:rPr>
        <w:t xml:space="preserve">       +--&gt; Reporting Compliance Agent</w:t>
      </w:r>
      <w:r>
        <w:br/>
      </w:r>
      <w:r>
        <w:rPr>
          <w:rFonts w:ascii="Consolas" w:cs="Consolas" w:eastAsia="Consolas" w:hAnsi="Consolas"/>
          <w:sz w:val="18"/>
          <w:szCs w:val="18"/>
        </w:rPr>
        <w:t xml:space="preserve">       +--&gt; Configuration Sequence Agent</w:t>
      </w:r>
      <w:r>
        <w:br/>
      </w:r>
      <w:r>
        <w:rPr>
          <w:rFonts w:ascii="Consolas" w:cs="Consolas" w:eastAsia="Consolas" w:hAnsi="Consolas"/>
          <w:sz w:val="18"/>
          <w:szCs w:val="18"/>
        </w:rPr>
        <w:t xml:space="preserve">       +--&gt; Test Scenarios Agent</w:t>
      </w:r>
      <w:r>
        <w:br/>
      </w:r>
      <w:r>
        <w:rPr>
          <w:rFonts w:ascii="Consolas" w:cs="Consolas" w:eastAsia="Consolas" w:hAnsi="Consolas"/>
          <w:sz w:val="18"/>
          <w:szCs w:val="18"/>
        </w:rPr>
        <w:t xml:space="preserve">       +--&gt; OSS Notes Agent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Excel Writer (core/excel_writer.py, openpyxl)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Response: streamed .xlsx workbook (one sheet per agent)</w:t>
      </w:r>
    </w:p>
    <w:p>
      <w:pPr>
        <w:pStyle w:val="Heading1"/>
        <w:spacing w:after="150" w:before="300"/>
      </w:pPr>
      <w:r>
        <w:t xml:space="preserve">3. Per-Agent Pipeline — the "no-hallucination" design</w:t>
      </w:r>
    </w:p>
    <w:p>
      <w:pPr>
        <w:spacing w:after="120"/>
      </w:pPr>
      <w:r>
        <w:t xml:space="preserve">Every agent runs the same pipeline (defined once in agents/base_agent.py, inherited by all 7 agent subclasses): 3 LLM stages, followed by 1 deterministic (non-LLM) validation step.</w:t>
      </w:r>
    </w:p>
    <w:p>
      <w:pPr>
        <w:spacing w:after="150" w:before="150"/>
        <w:jc w:val="center"/>
      </w:pPr>
      <w:r>
        <w:drawing>
          <wp:inline distT="0" distB="0" distL="0" distR="0">
            <wp:extent cx="4572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33400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1300"/>
      </w:tblGrid>
      <w:tr>
        <w:tc>
          <w:tcPr>
            <w:tcW w:type="dxa" w:w="2600"/>
            <w:shd w:fill="2E5395" w:val="clear"/>
          </w:tcPr>
          <w:p>
            <w:r>
              <w:rPr>
                <w:b/>
                <w:bCs/>
                <w:color w:val="FFFFFF"/>
                <w:sz w:val="20"/>
                <w:szCs w:val="20"/>
              </w:rPr>
              <w:t xml:space="preserve">Stage</w:t>
            </w:r>
          </w:p>
        </w:tc>
        <w:tc>
          <w:tcPr>
            <w:tcW w:type="dxa" w:w="5600"/>
            <w:shd w:fill="2E5395" w:val="clear"/>
          </w:tcPr>
          <w:p>
            <w:r>
              <w:rPr>
                <w:b/>
                <w:bCs/>
                <w:color w:val="FFFFFF"/>
                <w:sz w:val="20"/>
                <w:szCs w:val="20"/>
              </w:rPr>
              <w:t xml:space="preserve">Role</w:t>
            </w:r>
          </w:p>
        </w:tc>
        <w:tc>
          <w:tcPr>
            <w:tcW w:type="dxa" w:w="1300"/>
            <w:shd w:fill="2E5395" w:val="clear"/>
          </w:tcPr>
          <w:p>
            <w:r>
              <w:rPr>
                <w:b/>
                <w:bCs/>
                <w:color w:val="FFFFFF"/>
                <w:sz w:val="20"/>
                <w:szCs w:val="20"/>
              </w:rPr>
              <w:t xml:space="preserve">Type</w:t>
            </w:r>
          </w:p>
        </w:tc>
      </w:tr>
      <w:tr>
        <w:tc>
          <w:tcPr>
            <w:tcW w:type="dxa" w:w="2600"/>
          </w:tcPr>
          <w:p>
            <w:r>
              <w:rPr>
                <w:b w:val="false"/>
                <w:bCs w:val="false"/>
                <w:color w:val="000000"/>
                <w:sz w:val="20"/>
                <w:szCs w:val="20"/>
              </w:rPr>
              <w:t xml:space="preserve">1. Generator</w:t>
            </w:r>
          </w:p>
        </w:tc>
        <w:tc>
          <w:tcPr>
            <w:tcW w:type="dxa" w:w="5600"/>
          </w:tcPr>
          <w:p>
            <w:r>
              <w:rPr>
                <w:b w:val="false"/>
                <w:bCs w:val="false"/>
                <w:color w:val="000000"/>
                <w:sz w:val="20"/>
                <w:szCs w:val="20"/>
              </w:rPr>
              <w:t xml:space="preserve">Produces a first-draft JSON array of rows from the L3 process list + country legal context</w:t>
            </w:r>
          </w:p>
        </w:tc>
        <w:tc>
          <w:tcPr>
            <w:tcW w:type="dxa" w:w="1300"/>
          </w:tcPr>
          <w:p>
            <w:r>
              <w:rPr>
                <w:b w:val="false"/>
                <w:bCs w:val="false"/>
                <w:color w:val="000000"/>
                <w:sz w:val="20"/>
                <w:szCs w:val="20"/>
              </w:rPr>
              <w:t xml:space="preserve">LLM</w:t>
            </w:r>
          </w:p>
        </w:tc>
      </w:tr>
      <w:tr>
        <w:tc>
          <w:tcPr>
            <w:tcW w:type="dxa" w:w="2600"/>
          </w:tcPr>
          <w:p>
            <w:r>
              <w:rPr>
                <w:b w:val="false"/>
                <w:bCs w:val="false"/>
                <w:color w:val="000000"/>
                <w:sz w:val="20"/>
                <w:szCs w:val="20"/>
              </w:rPr>
              <w:t xml:space="preserve">2. Format / Guardrail Reviewer</w:t>
            </w:r>
          </w:p>
        </w:tc>
        <w:tc>
          <w:tcPr>
            <w:tcW w:type="dxa" w:w="5600"/>
          </w:tcPr>
          <w:p>
            <w:r>
              <w:rPr>
                <w:b w:val="false"/>
                <w:bCs w:val="false"/>
                <w:color w:val="000000"/>
                <w:sz w:val="20"/>
                <w:szCs w:val="20"/>
              </w:rPr>
              <w:t xml:space="preserve">Verifies structure: all required columns present, L3 values match the master file exactly, IDs follow the required pattern, no invented categories</w:t>
            </w:r>
          </w:p>
        </w:tc>
        <w:tc>
          <w:tcPr>
            <w:tcW w:type="dxa" w:w="1300"/>
          </w:tcPr>
          <w:p>
            <w:r>
              <w:rPr>
                <w:b w:val="false"/>
                <w:bCs w:val="false"/>
                <w:color w:val="000000"/>
                <w:sz w:val="20"/>
                <w:szCs w:val="20"/>
              </w:rPr>
              <w:t xml:space="preserve">LLM</w:t>
            </w:r>
          </w:p>
        </w:tc>
      </w:tr>
      <w:tr>
        <w:tc>
          <w:tcPr>
            <w:tcW w:type="dxa" w:w="2600"/>
          </w:tcPr>
          <w:p>
            <w:r>
              <w:rPr>
                <w:b w:val="false"/>
                <w:bCs w:val="false"/>
                <w:color w:val="000000"/>
                <w:sz w:val="20"/>
                <w:szCs w:val="20"/>
              </w:rPr>
              <w:t xml:space="preserve">3. Hallucination / Legal-Fact Checker</w:t>
            </w:r>
          </w:p>
        </w:tc>
        <w:tc>
          <w:tcPr>
            <w:tcW w:type="dxa" w:w="5600"/>
          </w:tcPr>
          <w:p>
            <w:r>
              <w:rPr>
                <w:b w:val="false"/>
                <w:bCs w:val="false"/>
                <w:color w:val="000000"/>
                <w:sz w:val="20"/>
                <w:szCs w:val="20"/>
              </w:rPr>
              <w:t xml:space="preserve">Verifies the content is factually correct for the country; marks uncertain claims "needs_review" instead of guessing</w:t>
            </w:r>
          </w:p>
        </w:tc>
        <w:tc>
          <w:tcPr>
            <w:tcW w:type="dxa" w:w="1300"/>
          </w:tcPr>
          <w:p>
            <w:r>
              <w:rPr>
                <w:b w:val="false"/>
                <w:bCs w:val="false"/>
                <w:color w:val="000000"/>
                <w:sz w:val="20"/>
                <w:szCs w:val="20"/>
              </w:rPr>
              <w:t xml:space="preserve">LLM</w:t>
            </w:r>
          </w:p>
        </w:tc>
      </w:tr>
      <w:tr>
        <w:tc>
          <w:tcPr>
            <w:tcW w:type="dxa" w:w="2600"/>
          </w:tcPr>
          <w:p>
            <w:r>
              <w:rPr>
                <w:b w:val="false"/>
                <w:bCs w:val="false"/>
                <w:color w:val="000000"/>
                <w:sz w:val="20"/>
                <w:szCs w:val="20"/>
              </w:rPr>
              <w:t xml:space="preserve">Deterministic Validator</w:t>
            </w:r>
          </w:p>
        </w:tc>
        <w:tc>
          <w:tcPr>
            <w:tcW w:type="dxa" w:w="5600"/>
          </w:tcPr>
          <w:p>
            <w:r>
              <w:rPr>
                <w:b w:val="false"/>
                <w:bCs w:val="false"/>
                <w:color w:val="000000"/>
                <w:sz w:val="20"/>
                <w:szCs w:val="20"/>
              </w:rPr>
              <w:t xml:space="preserve">Pydantic schema check, exact string match against L3 master, regex on IDs, enum checks; rejects and retries (max 2) on failure</w:t>
            </w:r>
          </w:p>
        </w:tc>
        <w:tc>
          <w:tcPr>
            <w:tcW w:type="dxa" w:w="1300"/>
          </w:tcPr>
          <w:p>
            <w:r>
              <w:rPr>
                <w:b w:val="false"/>
                <w:bCs w:val="false"/>
                <w:color w:val="000000"/>
                <w:sz w:val="20"/>
                <w:szCs w:val="20"/>
              </w:rPr>
              <w:t xml:space="preserve">Python (no LLM)</w:t>
            </w:r>
          </w:p>
        </w:tc>
      </w:tr>
    </w:tbl>
    <w:p>
      <w:pPr>
        <w:spacing w:after="120"/>
      </w:pPr>
      <w:r>
        <w:t xml:space="preserve"> </w:t>
      </w:r>
    </w:p>
    <w:p>
      <w:pPr>
        <w:spacing w:after="150"/>
      </w:pPr>
      <w:r>
        <w:rPr>
          <w:b/>
          <w:bCs/>
        </w:rPr>
        <w:t xml:space="preserve">Why this shape: </w:t>
      </w:r>
      <w:r>
        <w:t xml:space="preserve">each stage has a narrow, checkable job. Structural correctness is verified before factual correctness, and the final gate is pure code — which cannot hallucinate. This also allows using a cheaper model for Stage 1 and a stronger model for Stage 3, since the stages have different reliability requirements.</w:t>
      </w:r>
    </w:p>
    <w:p>
      <w:pPr>
        <w:spacing w:after="100"/>
      </w:pPr>
      <w:r>
        <w:rPr>
          <w:b/>
          <w:bCs/>
        </w:rPr>
        <w:t xml:space="preserve">Source of truth: </w:t>
      </w:r>
      <w:r>
        <w:t xml:space="preserve">the LLM is not relied on to "know" country legal rules from training data. Two data sources are injected into every prompt:</w:t>
      </w:r>
    </w:p>
    <w:p>
      <w:pPr>
        <w:pStyle w:val="ListParagraph"/>
        <w:numPr>
          <w:ilvl w:val="0"/>
          <w:numId w:val="1"/>
        </w:numPr>
        <w:spacing w:after="60"/>
      </w:pPr>
      <w:r>
        <w:t xml:space="preserve">L3 Master file (inputs/L3_Master.xlsx) — the canonical list of valid SAP business processes; loaded once per request and cached across all parallel agents.</w:t>
      </w:r>
    </w:p>
    <w:p>
      <w:pPr>
        <w:pStyle w:val="ListParagraph"/>
        <w:numPr>
          <w:ilvl w:val="0"/>
          <w:numId w:val="1"/>
        </w:numPr>
        <w:spacing w:after="60"/>
      </w:pPr>
      <w:r>
        <w:t xml:space="preserve">Country YAML (country_rules/&lt;country&gt;.yaml) — hand-authored legal/tax facts (VAT rates, ID prefix pattern, in-scope process areas, statutory retention rules, etc.).</w:t>
      </w:r>
    </w:p>
    <w:p>
      <w:pPr>
        <w:spacing w:after="120"/>
      </w:pPr>
      <w:r>
        <w:t xml:space="preserve">The LLM's role is to apply and format this given data, not to invent it.</w:t>
      </w:r>
    </w:p>
    <w:p>
      <w:pPr>
        <w:pStyle w:val="Heading1"/>
        <w:spacing w:after="150" w:before="300"/>
      </w:pPr>
      <w:r>
        <w:t xml:space="preserve">4. Agents Implemented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000"/>
        <w:gridCol w:w="1700"/>
      </w:tblGrid>
      <w:tr>
        <w:tc>
          <w:tcPr>
            <w:tcW w:type="dxa" w:w="3200"/>
            <w:shd w:fill="2E5395" w:val="clear"/>
          </w:tcPr>
          <w:p>
            <w:r>
              <w:rPr>
                <w:b/>
                <w:bCs/>
                <w:color w:val="FFFFFF"/>
                <w:sz w:val="20"/>
                <w:szCs w:val="20"/>
              </w:rPr>
              <w:t xml:space="preserve">Agent</w:t>
            </w:r>
          </w:p>
        </w:tc>
        <w:tc>
          <w:tcPr>
            <w:tcW w:type="dxa" w:w="2600"/>
            <w:shd w:fill="2E5395" w:val="clear"/>
          </w:tcPr>
          <w:p>
            <w:r>
              <w:rPr>
                <w:b/>
                <w:bCs/>
                <w:color w:val="FFFFFF"/>
                <w:sz w:val="20"/>
                <w:szCs w:val="20"/>
              </w:rPr>
              <w:t xml:space="preserve">Output Sheet</w:t>
            </w:r>
          </w:p>
        </w:tc>
        <w:tc>
          <w:tcPr>
            <w:tcW w:type="dxa" w:w="2000"/>
            <w:shd w:fill="2E5395" w:val="clear"/>
          </w:tcPr>
          <w:p>
            <w:r>
              <w:rPr>
                <w:b/>
                <w:bCs/>
                <w:color w:val="FFFFFF"/>
                <w:sz w:val="20"/>
                <w:szCs w:val="20"/>
              </w:rPr>
              <w:t xml:space="preserve">ID Pattern</w:t>
            </w:r>
          </w:p>
        </w:tc>
        <w:tc>
          <w:tcPr>
            <w:tcW w:type="dxa" w:w="1700"/>
            <w:shd w:fill="2E5395" w:val="clear"/>
          </w:tcPr>
          <w:p>
            <w:r>
              <w:rPr>
                <w:b/>
                <w:bCs/>
                <w:color w:val="FFFFFF"/>
                <w:sz w:val="20"/>
                <w:szCs w:val="20"/>
              </w:rPr>
              <w:t xml:space="preserve">Status</w:t>
            </w:r>
          </w:p>
        </w:tc>
      </w:tr>
      <w:tr>
        <w:tc>
          <w:tcPr>
            <w:tcW w:type="dxa" w:w="3200"/>
          </w:tcPr>
          <w:p>
            <w:r>
              <w:rPr>
                <w:b w:val="false"/>
                <w:bCs w:val="false"/>
                <w:color w:val="000000"/>
                <w:sz w:val="20"/>
                <w:szCs w:val="20"/>
              </w:rPr>
              <w:t xml:space="preserve">requirement_overview_agent.py</w:t>
            </w:r>
          </w:p>
        </w:tc>
        <w:tc>
          <w:tcPr>
            <w:tcW w:type="dxa" w:w="2600"/>
          </w:tcPr>
          <w:p>
            <w:r>
              <w:rPr>
                <w:b w:val="false"/>
                <w:bCs w:val="false"/>
                <w:color w:val="000000"/>
                <w:sz w:val="20"/>
                <w:szCs w:val="20"/>
              </w:rPr>
              <w:t xml:space="preserve">Requirement Overview</w:t>
            </w:r>
          </w:p>
        </w:tc>
        <w:tc>
          <w:tcPr>
            <w:tcW w:type="dxa" w:w="2000"/>
          </w:tcPr>
          <w:p>
            <w:r>
              <w:rPr>
                <w:b w:val="false"/>
                <w:bCs w:val="false"/>
                <w:color w:val="000000"/>
                <w:sz w:val="20"/>
                <w:szCs w:val="20"/>
              </w:rPr>
              <w:t xml:space="preserve">AT-LOC-###</w:t>
            </w:r>
          </w:p>
        </w:tc>
        <w:tc>
          <w:tcPr>
            <w:tcW w:type="dxa" w:w="1700"/>
          </w:tcPr>
          <w:p>
            <w:r>
              <w:rPr>
                <w:b w:val="false"/>
                <w:bCs w:val="false"/>
                <w:color w:val="000000"/>
                <w:sz w:val="20"/>
                <w:szCs w:val="20"/>
              </w:rPr>
              <w:t xml:space="preserve">Validated (Austria)</w:t>
            </w:r>
          </w:p>
        </w:tc>
      </w:tr>
      <w:tr>
        <w:tc>
          <w:tcPr>
            <w:tcW w:type="dxa" w:w="3200"/>
          </w:tcPr>
          <w:p>
            <w:r>
              <w:rPr>
                <w:b w:val="false"/>
                <w:bCs w:val="false"/>
                <w:color w:val="000000"/>
                <w:sz w:val="20"/>
                <w:szCs w:val="20"/>
              </w:rPr>
              <w:t xml:space="preserve">configuration_details_agent.py</w:t>
            </w:r>
          </w:p>
        </w:tc>
        <w:tc>
          <w:tcPr>
            <w:tcW w:type="dxa" w:w="2600"/>
          </w:tcPr>
          <w:p>
            <w:r>
              <w:rPr>
                <w:b w:val="false"/>
                <w:bCs w:val="false"/>
                <w:color w:val="000000"/>
                <w:sz w:val="20"/>
                <w:szCs w:val="20"/>
              </w:rPr>
              <w:t xml:space="preserve">Configuration Details</w:t>
            </w:r>
          </w:p>
        </w:tc>
        <w:tc>
          <w:tcPr>
            <w:tcW w:type="dxa" w:w="2000"/>
          </w:tcPr>
          <w:p>
            <w:r>
              <w:rPr>
                <w:b w:val="false"/>
                <w:bCs w:val="false"/>
                <w:color w:val="000000"/>
                <w:sz w:val="20"/>
                <w:szCs w:val="20"/>
              </w:rPr>
              <w:t xml:space="preserve">—</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master_data_agent.py</w:t>
            </w:r>
          </w:p>
        </w:tc>
        <w:tc>
          <w:tcPr>
            <w:tcW w:type="dxa" w:w="2600"/>
          </w:tcPr>
          <w:p>
            <w:r>
              <w:rPr>
                <w:b w:val="false"/>
                <w:bCs w:val="false"/>
                <w:color w:val="000000"/>
                <w:sz w:val="20"/>
                <w:szCs w:val="20"/>
              </w:rPr>
              <w:t xml:space="preserve">Master Data</w:t>
            </w:r>
          </w:p>
        </w:tc>
        <w:tc>
          <w:tcPr>
            <w:tcW w:type="dxa" w:w="2000"/>
          </w:tcPr>
          <w:p>
            <w:r>
              <w:rPr>
                <w:b w:val="false"/>
                <w:bCs w:val="false"/>
                <w:color w:val="000000"/>
                <w:sz w:val="20"/>
                <w:szCs w:val="20"/>
              </w:rPr>
              <w:t xml:space="preserve">—</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reporting_compliance_agent.py</w:t>
            </w:r>
          </w:p>
        </w:tc>
        <w:tc>
          <w:tcPr>
            <w:tcW w:type="dxa" w:w="2600"/>
          </w:tcPr>
          <w:p>
            <w:r>
              <w:rPr>
                <w:b w:val="false"/>
                <w:bCs w:val="false"/>
                <w:color w:val="000000"/>
                <w:sz w:val="20"/>
                <w:szCs w:val="20"/>
              </w:rPr>
              <w:t xml:space="preserve">Reporting Compliance</w:t>
            </w:r>
          </w:p>
        </w:tc>
        <w:tc>
          <w:tcPr>
            <w:tcW w:type="dxa" w:w="2000"/>
          </w:tcPr>
          <w:p>
            <w:r>
              <w:rPr>
                <w:b w:val="false"/>
                <w:bCs w:val="false"/>
                <w:color w:val="000000"/>
                <w:sz w:val="20"/>
                <w:szCs w:val="20"/>
              </w:rPr>
              <w:t xml:space="preserve">AT-RPT-###</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configuration_sequence_agent.py</w:t>
            </w:r>
          </w:p>
        </w:tc>
        <w:tc>
          <w:tcPr>
            <w:tcW w:type="dxa" w:w="2600"/>
          </w:tcPr>
          <w:p>
            <w:r>
              <w:rPr>
                <w:b w:val="false"/>
                <w:bCs w:val="false"/>
                <w:color w:val="000000"/>
                <w:sz w:val="20"/>
                <w:szCs w:val="20"/>
              </w:rPr>
              <w:t xml:space="preserve">Configuration Sequence</w:t>
            </w:r>
          </w:p>
        </w:tc>
        <w:tc>
          <w:tcPr>
            <w:tcW w:type="dxa" w:w="2000"/>
          </w:tcPr>
          <w:p>
            <w:r>
              <w:rPr>
                <w:b w:val="false"/>
                <w:bCs w:val="false"/>
                <w:color w:val="000000"/>
                <w:sz w:val="20"/>
                <w:szCs w:val="20"/>
              </w:rPr>
              <w:t xml:space="preserve">— (ordered steps 1–12)</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test_scenarios_agent.py</w:t>
            </w:r>
          </w:p>
        </w:tc>
        <w:tc>
          <w:tcPr>
            <w:tcW w:type="dxa" w:w="2600"/>
          </w:tcPr>
          <w:p>
            <w:r>
              <w:rPr>
                <w:b w:val="false"/>
                <w:bCs w:val="false"/>
                <w:color w:val="000000"/>
                <w:sz w:val="20"/>
                <w:szCs w:val="20"/>
              </w:rPr>
              <w:t xml:space="preserve">Test Scenarios</w:t>
            </w:r>
          </w:p>
        </w:tc>
        <w:tc>
          <w:tcPr>
            <w:tcW w:type="dxa" w:w="2000"/>
          </w:tcPr>
          <w:p>
            <w:r>
              <w:rPr>
                <w:b w:val="false"/>
                <w:bCs w:val="false"/>
                <w:color w:val="000000"/>
                <w:sz w:val="20"/>
                <w:szCs w:val="20"/>
              </w:rPr>
              <w:t xml:space="preserve">AT-TC-###</w:t>
            </w:r>
          </w:p>
        </w:tc>
        <w:tc>
          <w:tcPr>
            <w:tcW w:type="dxa" w:w="1700"/>
          </w:tcPr>
          <w:p>
            <w:r>
              <w:rPr>
                <w:b w:val="false"/>
                <w:bCs w:val="false"/>
                <w:color w:val="000000"/>
                <w:sz w:val="20"/>
                <w:szCs w:val="20"/>
              </w:rPr>
              <w:t xml:space="preserve">Validated</w:t>
            </w:r>
          </w:p>
        </w:tc>
      </w:tr>
      <w:tr>
        <w:tc>
          <w:tcPr>
            <w:tcW w:type="dxa" w:w="3200"/>
          </w:tcPr>
          <w:p>
            <w:r>
              <w:rPr>
                <w:b w:val="false"/>
                <w:bCs w:val="false"/>
                <w:color w:val="000000"/>
                <w:sz w:val="20"/>
                <w:szCs w:val="20"/>
              </w:rPr>
              <w:t xml:space="preserve">oss_notes_agent.py</w:t>
            </w:r>
          </w:p>
        </w:tc>
        <w:tc>
          <w:tcPr>
            <w:tcW w:type="dxa" w:w="2600"/>
          </w:tcPr>
          <w:p>
            <w:r>
              <w:rPr>
                <w:b w:val="false"/>
                <w:bCs w:val="false"/>
                <w:color w:val="000000"/>
                <w:sz w:val="20"/>
                <w:szCs w:val="20"/>
              </w:rPr>
              <w:t xml:space="preserve">OSS Notes</w:t>
            </w:r>
          </w:p>
        </w:tc>
        <w:tc>
          <w:tcPr>
            <w:tcW w:type="dxa" w:w="2000"/>
          </w:tcPr>
          <w:p>
            <w:r>
              <w:rPr>
                <w:b w:val="false"/>
                <w:bCs w:val="false"/>
                <w:color w:val="000000"/>
                <w:sz w:val="20"/>
                <w:szCs w:val="20"/>
              </w:rPr>
              <w:t xml:space="preserve">—</w:t>
            </w:r>
          </w:p>
        </w:tc>
        <w:tc>
          <w:tcPr>
            <w:tcW w:type="dxa" w:w="1700"/>
          </w:tcPr>
          <w:p>
            <w:r>
              <w:rPr>
                <w:b w:val="false"/>
                <w:bCs w:val="false"/>
                <w:color w:val="000000"/>
                <w:sz w:val="20"/>
                <w:szCs w:val="20"/>
              </w:rPr>
              <w:t xml:space="preserve">[confirm status]</w:t>
            </w:r>
          </w:p>
        </w:tc>
      </w:tr>
    </w:tbl>
    <w:p>
      <w:pPr>
        <w:spacing w:after="120"/>
      </w:pPr>
      <w:r>
        <w:t xml:space="preserve"> </w:t>
      </w:r>
    </w:p>
    <w:p>
      <w:pPr>
        <w:spacing w:after="120"/>
      </w:pPr>
      <w:r>
        <w:t xml:space="preserve">All agents share the same base class and prompt-file structure (llm/prompts/&lt;sheet_name&gt;/stage1_generate.txt, stage2_format_review.txt, stage3_legal_check.txt), differing only in prompt content, output schema, and ID pattern.</w:t>
      </w:r>
    </w:p>
    <w:p>
      <w:pPr>
        <w:pStyle w:val="Heading1"/>
        <w:spacing w:after="150" w:before="300"/>
      </w:pPr>
      <w:r>
        <w:t xml:space="preserve">5. Concurrency Model</w:t>
      </w:r>
    </w:p>
    <w:p>
      <w:pPr>
        <w:pStyle w:val="ListParagraph"/>
        <w:numPr>
          <w:ilvl w:val="0"/>
          <w:numId w:val="1"/>
        </w:numPr>
        <w:spacing w:after="60"/>
      </w:pPr>
      <w:r>
        <w:t xml:space="preserve">Agents run in parallel across sheets: asyncio.gather(agent.run() for agent in selected_agents) in the orchestrator.</w:t>
      </w:r>
    </w:p>
    <w:p>
      <w:pPr>
        <w:pStyle w:val="ListParagraph"/>
        <w:numPr>
          <w:ilvl w:val="0"/>
          <w:numId w:val="1"/>
        </w:numPr>
        <w:spacing w:after="60"/>
      </w:pPr>
      <w:r>
        <w:t xml:space="preserve">Within a single agent, the 3 LLM stages + deterministic validator run sequentially, since each depends on the previous step's output.</w:t>
      </w:r>
    </w:p>
    <w:p>
      <w:pPr>
        <w:pStyle w:val="ListParagraph"/>
        <w:numPr>
          <w:ilvl w:val="0"/>
          <w:numId w:val="1"/>
        </w:numPr>
        <w:spacing w:after="60"/>
      </w:pPr>
      <w:r>
        <w:t xml:space="preserve">LLM call rate-limiting is handled via a semaphore in llm/client.py.</w:t>
      </w:r>
    </w:p>
    <w:p>
      <w:pPr>
        <w:pStyle w:val="ListParagraph"/>
        <w:numPr>
          <w:ilvl w:val="0"/>
          <w:numId w:val="1"/>
        </w:numPr>
        <w:spacing w:after="60"/>
      </w:pPr>
      <w:r>
        <w:t xml:space="preserve">The L3 master file is loaded once per request and shared (read-only) across all dispatched agents to avoid redundant I/O.</w:t>
      </w:r>
    </w:p>
    <w:p>
      <w:pPr>
        <w:pStyle w:val="Heading1"/>
        <w:spacing w:after="150" w:before="300"/>
      </w:pPr>
      <w:r>
        <w:t xml:space="preserve">6. Project Structure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orchestrator_api/</w:t>
      </w:r>
      <w:r>
        <w:br/>
      </w:r>
      <w:r>
        <w:rPr>
          <w:rFonts w:ascii="Consolas" w:cs="Consolas" w:eastAsia="Consolas" w:hAnsi="Consolas"/>
          <w:sz w:val="18"/>
          <w:szCs w:val="18"/>
        </w:rPr>
        <w:t xml:space="preserve">├── app.py                        # Flask entrypoint (create_app factory)</w:t>
      </w:r>
      <w:r>
        <w:br/>
      </w:r>
      <w:r>
        <w:rPr>
          <w:rFonts w:ascii="Consolas" w:cs="Consolas" w:eastAsia="Consolas" w:hAnsi="Consolas"/>
          <w:sz w:val="18"/>
          <w:szCs w:val="18"/>
        </w:rPr>
        <w:t xml:space="preserve">├── api/</w:t>
      </w:r>
      <w:r>
        <w:br/>
      </w:r>
      <w:r>
        <w:rPr>
          <w:rFonts w:ascii="Consolas" w:cs="Consolas" w:eastAsia="Consolas" w:hAnsi="Consolas"/>
          <w:sz w:val="18"/>
          <w:szCs w:val="18"/>
        </w:rPr>
        <w:t xml:space="preserve">│   └── routes.py                 # /generate, /health, /countries, /sheets, /models</w:t>
      </w:r>
      <w:r>
        <w:br/>
      </w:r>
      <w:r>
        <w:rPr>
          <w:rFonts w:ascii="Consolas" w:cs="Consolas" w:eastAsia="Consolas" w:hAnsi="Consolas"/>
          <w:sz w:val="18"/>
          <w:szCs w:val="18"/>
        </w:rPr>
        <w:t xml:space="preserve">├── core/</w:t>
      </w:r>
      <w:r>
        <w:br/>
      </w:r>
      <w:r>
        <w:rPr>
          <w:rFonts w:ascii="Consolas" w:cs="Consolas" w:eastAsia="Consolas" w:hAnsi="Consolas"/>
          <w:sz w:val="18"/>
          <w:szCs w:val="18"/>
        </w:rPr>
        <w:t xml:space="preserve">│   ├── config.py                 # settings, LLM keys, model names</w:t>
      </w:r>
      <w:r>
        <w:br/>
      </w:r>
      <w:r>
        <w:rPr>
          <w:rFonts w:ascii="Consolas" w:cs="Consolas" w:eastAsia="Consolas" w:hAnsi="Consolas"/>
          <w:sz w:val="18"/>
          <w:szCs w:val="18"/>
        </w:rPr>
        <w:t xml:space="preserve">│   ├── orchestrator.py           # parallel agent dispatcher, sheet-&gt;agent registry</w:t>
      </w:r>
      <w:r>
        <w:br/>
      </w:r>
      <w:r>
        <w:rPr>
          <w:rFonts w:ascii="Consolas" w:cs="Consolas" w:eastAsia="Consolas" w:hAnsi="Consolas"/>
          <w:sz w:val="18"/>
          <w:szCs w:val="18"/>
        </w:rPr>
        <w:t xml:space="preserve">│   └── excel_writer.py           # assembles final .xlsx via openpyxl</w:t>
      </w:r>
      <w:r>
        <w:br/>
      </w:r>
      <w:r>
        <w:rPr>
          <w:rFonts w:ascii="Consolas" w:cs="Consolas" w:eastAsia="Consolas" w:hAnsi="Consolas"/>
          <w:sz w:val="18"/>
          <w:szCs w:val="18"/>
        </w:rPr>
        <w:t xml:space="preserve">├── agents/</w:t>
      </w:r>
      <w:r>
        <w:br/>
      </w:r>
      <w:r>
        <w:rPr>
          <w:rFonts w:ascii="Consolas" w:cs="Consolas" w:eastAsia="Consolas" w:hAnsi="Consolas"/>
          <w:sz w:val="18"/>
          <w:szCs w:val="18"/>
        </w:rPr>
        <w:t xml:space="preserve">│   ├── base_agent.py             # abstract 3-stage LLM pipeline + validator</w:t>
      </w:r>
      <w:r>
        <w:br/>
      </w:r>
      <w:r>
        <w:rPr>
          <w:rFonts w:ascii="Consolas" w:cs="Consolas" w:eastAsia="Consolas" w:hAnsi="Consolas"/>
          <w:sz w:val="18"/>
          <w:szCs w:val="18"/>
        </w:rPr>
        <w:t xml:space="preserve">│   ├── requirement_overview_agent.py</w:t>
      </w:r>
      <w:r>
        <w:br/>
      </w:r>
      <w:r>
        <w:rPr>
          <w:rFonts w:ascii="Consolas" w:cs="Consolas" w:eastAsia="Consolas" w:hAnsi="Consolas"/>
          <w:sz w:val="18"/>
          <w:szCs w:val="18"/>
        </w:rPr>
        <w:t xml:space="preserve">│   ├── configuration_details_agent.py</w:t>
      </w:r>
      <w:r>
        <w:br/>
      </w:r>
      <w:r>
        <w:rPr>
          <w:rFonts w:ascii="Consolas" w:cs="Consolas" w:eastAsia="Consolas" w:hAnsi="Consolas"/>
          <w:sz w:val="18"/>
          <w:szCs w:val="18"/>
        </w:rPr>
        <w:t xml:space="preserve">│   ├── configuration_sequence_agent.py</w:t>
      </w:r>
      <w:r>
        <w:br/>
      </w:r>
      <w:r>
        <w:rPr>
          <w:rFonts w:ascii="Consolas" w:cs="Consolas" w:eastAsia="Consolas" w:hAnsi="Consolas"/>
          <w:sz w:val="18"/>
          <w:szCs w:val="18"/>
        </w:rPr>
        <w:t xml:space="preserve">│   ├── master_data_agent.py</w:t>
      </w:r>
      <w:r>
        <w:br/>
      </w:r>
      <w:r>
        <w:rPr>
          <w:rFonts w:ascii="Consolas" w:cs="Consolas" w:eastAsia="Consolas" w:hAnsi="Consolas"/>
          <w:sz w:val="18"/>
          <w:szCs w:val="18"/>
        </w:rPr>
        <w:t xml:space="preserve">│   ├── oss_notes_agent.py</w:t>
      </w:r>
      <w:r>
        <w:br/>
      </w:r>
      <w:r>
        <w:rPr>
          <w:rFonts w:ascii="Consolas" w:cs="Consolas" w:eastAsia="Consolas" w:hAnsi="Consolas"/>
          <w:sz w:val="18"/>
          <w:szCs w:val="18"/>
        </w:rPr>
        <w:t xml:space="preserve">│   ├── reporting_compliance_agent.py</w:t>
      </w:r>
      <w:r>
        <w:br/>
      </w:r>
      <w:r>
        <w:rPr>
          <w:rFonts w:ascii="Consolas" w:cs="Consolas" w:eastAsia="Consolas" w:hAnsi="Consolas"/>
          <w:sz w:val="18"/>
          <w:szCs w:val="18"/>
        </w:rPr>
        <w:t xml:space="preserve">│   └── test_scenarios_agent.py</w:t>
      </w:r>
      <w:r>
        <w:br/>
      </w:r>
      <w:r>
        <w:rPr>
          <w:rFonts w:ascii="Consolas" w:cs="Consolas" w:eastAsia="Consolas" w:hAnsi="Consolas"/>
          <w:sz w:val="18"/>
          <w:szCs w:val="18"/>
        </w:rPr>
        <w:t xml:space="preserve">├── llm/</w:t>
      </w:r>
      <w:r>
        <w:br/>
      </w:r>
      <w:r>
        <w:rPr>
          <w:rFonts w:ascii="Consolas" w:cs="Consolas" w:eastAsia="Consolas" w:hAnsi="Consolas"/>
          <w:sz w:val="18"/>
          <w:szCs w:val="18"/>
        </w:rPr>
        <w:t xml:space="preserve">│   ├── client.py                 # unified LLM client (SAP AI Core / ai-core-sdk)</w:t>
      </w:r>
      <w:r>
        <w:br/>
      </w:r>
      <w:r>
        <w:rPr>
          <w:rFonts w:ascii="Consolas" w:cs="Consolas" w:eastAsia="Consolas" w:hAnsi="Consolas"/>
          <w:sz w:val="18"/>
          <w:szCs w:val="18"/>
        </w:rPr>
        <w:t xml:space="preserve">│   └── prompts/</w:t>
      </w:r>
      <w:r>
        <w:br/>
      </w:r>
      <w:r>
        <w:rPr>
          <w:rFonts w:ascii="Consolas" w:cs="Consolas" w:eastAsia="Consolas" w:hAnsi="Consolas"/>
          <w:sz w:val="18"/>
          <w:szCs w:val="18"/>
        </w:rPr>
        <w:t xml:space="preserve">│       └── &lt;sheet_name&gt;/</w:t>
      </w:r>
      <w:r>
        <w:br/>
      </w:r>
      <w:r>
        <w:rPr>
          <w:rFonts w:ascii="Consolas" w:cs="Consolas" w:eastAsia="Consolas" w:hAnsi="Consolas"/>
          <w:sz w:val="18"/>
          <w:szCs w:val="18"/>
        </w:rPr>
        <w:t xml:space="preserve">│           ├── stage1_generate.txt</w:t>
      </w:r>
      <w:r>
        <w:br/>
      </w:r>
      <w:r>
        <w:rPr>
          <w:rFonts w:ascii="Consolas" w:cs="Consolas" w:eastAsia="Consolas" w:hAnsi="Consolas"/>
          <w:sz w:val="18"/>
          <w:szCs w:val="18"/>
        </w:rPr>
        <w:t xml:space="preserve">│           ├── stage2_format_review.txt</w:t>
      </w:r>
      <w:r>
        <w:br/>
      </w:r>
      <w:r>
        <w:rPr>
          <w:rFonts w:ascii="Consolas" w:cs="Consolas" w:eastAsia="Consolas" w:hAnsi="Consolas"/>
          <w:sz w:val="18"/>
          <w:szCs w:val="18"/>
        </w:rPr>
        <w:t xml:space="preserve">│           └── stage3_legal_check.txt</w:t>
      </w:r>
      <w:r>
        <w:br/>
      </w:r>
      <w:r>
        <w:rPr>
          <w:rFonts w:ascii="Consolas" w:cs="Consolas" w:eastAsia="Consolas" w:hAnsi="Consolas"/>
          <w:sz w:val="18"/>
          <w:szCs w:val="18"/>
        </w:rPr>
        <w:t xml:space="preserve">├── l3_loader.py                  # reads L3 master xlsx -&gt; dict, cached</w:t>
      </w:r>
      <w:r>
        <w:br/>
      </w:r>
      <w:r>
        <w:rPr>
          <w:rFonts w:ascii="Consolas" w:cs="Consolas" w:eastAsia="Consolas" w:hAnsi="Consolas"/>
          <w:sz w:val="18"/>
          <w:szCs w:val="18"/>
        </w:rPr>
        <w:t xml:space="preserve">├── country_rules/</w:t>
      </w:r>
      <w:r>
        <w:br/>
      </w:r>
      <w:r>
        <w:rPr>
          <w:rFonts w:ascii="Consolas" w:cs="Consolas" w:eastAsia="Consolas" w:hAnsi="Consolas"/>
          <w:sz w:val="18"/>
          <w:szCs w:val="18"/>
        </w:rPr>
        <w:t xml:space="preserve">│   ├── austria.yaml               # legal prompts, VAT rates, in-scope L2s</w:t>
      </w:r>
      <w:r>
        <w:br/>
      </w:r>
      <w:r>
        <w:rPr>
          <w:rFonts w:ascii="Consolas" w:cs="Consolas" w:eastAsia="Consolas" w:hAnsi="Consolas"/>
          <w:sz w:val="18"/>
          <w:szCs w:val="18"/>
        </w:rPr>
        <w:t xml:space="preserve">│   └── &lt;other countries&gt;.yaml</w:t>
      </w:r>
      <w:r>
        <w:br/>
      </w:r>
      <w:r>
        <w:rPr>
          <w:rFonts w:ascii="Consolas" w:cs="Consolas" w:eastAsia="Consolas" w:hAnsi="Consolas"/>
          <w:sz w:val="18"/>
          <w:szCs w:val="18"/>
        </w:rPr>
        <w:t xml:space="preserve">├── schemas/</w:t>
      </w:r>
      <w:r>
        <w:br/>
      </w:r>
      <w:r>
        <w:rPr>
          <w:rFonts w:ascii="Consolas" w:cs="Consolas" w:eastAsia="Consolas" w:hAnsi="Consolas"/>
          <w:sz w:val="18"/>
          <w:szCs w:val="18"/>
        </w:rPr>
        <w:t xml:space="preserve">│   ├── request.py                 # Pydantic input schema</w:t>
      </w:r>
      <w:r>
        <w:br/>
      </w:r>
      <w:r>
        <w:rPr>
          <w:rFonts w:ascii="Consolas" w:cs="Consolas" w:eastAsia="Consolas" w:hAnsi="Consolas"/>
          <w:sz w:val="18"/>
          <w:szCs w:val="18"/>
        </w:rPr>
        <w:t xml:space="preserve">│   └── &lt;sheet&gt;.py                 # Pydantic output row schema per sheet</w:t>
      </w:r>
      <w:r>
        <w:br/>
      </w:r>
      <w:r>
        <w:rPr>
          <w:rFonts w:ascii="Consolas" w:cs="Consolas" w:eastAsia="Consolas" w:hAnsi="Consolas"/>
          <w:sz w:val="18"/>
          <w:szCs w:val="18"/>
        </w:rPr>
        <w:t xml:space="preserve">├── validators/</w:t>
      </w:r>
      <w:r>
        <w:br/>
      </w:r>
      <w:r>
        <w:rPr>
          <w:rFonts w:ascii="Consolas" w:cs="Consolas" w:eastAsia="Consolas" w:hAnsi="Consolas"/>
          <w:sz w:val="18"/>
          <w:szCs w:val="18"/>
        </w:rPr>
        <w:t xml:space="preserve">│   └── row_validator.py           # format + hallucination guards (Stage 4)</w:t>
      </w:r>
      <w:r>
        <w:br/>
      </w:r>
      <w:r>
        <w:rPr>
          <w:rFonts w:ascii="Consolas" w:cs="Consolas" w:eastAsia="Consolas" w:hAnsi="Consolas"/>
          <w:sz w:val="18"/>
          <w:szCs w:val="18"/>
        </w:rPr>
        <w:t xml:space="preserve">├── inputs/</w:t>
      </w:r>
      <w:r>
        <w:br/>
      </w:r>
      <w:r>
        <w:rPr>
          <w:rFonts w:ascii="Consolas" w:cs="Consolas" w:eastAsia="Consolas" w:hAnsi="Consolas"/>
          <w:sz w:val="18"/>
          <w:szCs w:val="18"/>
        </w:rPr>
        <w:t xml:space="preserve">│   └── L3_Master.xlsx</w:t>
      </w:r>
      <w:r>
        <w:br/>
      </w:r>
      <w:r>
        <w:rPr>
          <w:rFonts w:ascii="Consolas" w:cs="Consolas" w:eastAsia="Consolas" w:hAnsi="Consolas"/>
          <w:sz w:val="18"/>
          <w:szCs w:val="18"/>
        </w:rPr>
        <w:t xml:space="preserve">├── outputs/                       # generated Excel files land here</w:t>
      </w:r>
      <w:r>
        <w:br/>
      </w:r>
      <w:r>
        <w:rPr>
          <w:rFonts w:ascii="Consolas" w:cs="Consolas" w:eastAsia="Consolas" w:hAnsi="Consolas"/>
          <w:sz w:val="18"/>
          <w:szCs w:val="18"/>
        </w:rPr>
        <w:t xml:space="preserve">├── requirements.txt</w:t>
      </w:r>
      <w:r>
        <w:br/>
      </w:r>
      <w:r>
        <w:rPr>
          <w:rFonts w:ascii="Consolas" w:cs="Consolas" w:eastAsia="Consolas" w:hAnsi="Consolas"/>
          <w:sz w:val="18"/>
          <w:szCs w:val="18"/>
        </w:rPr>
        <w:t xml:space="preserve">└── README.md</w:t>
      </w:r>
    </w:p>
    <w:p>
      <w:pPr>
        <w:pStyle w:val="Heading1"/>
        <w:spacing w:after="150" w:before="300"/>
      </w:pPr>
      <w:r>
        <w:t xml:space="preserve">7. Platform / Integration</w:t>
      </w:r>
    </w:p>
    <w:p>
      <w:pPr>
        <w:pStyle w:val="ListParagraph"/>
        <w:numPr>
          <w:ilvl w:val="0"/>
          <w:numId w:val="1"/>
        </w:numPr>
        <w:spacing w:after="60"/>
      </w:pPr>
      <w:r>
        <w:t xml:space="preserve">Runtime: Python 3.12 (note: Python 3.14 currently breaks pandas==2.2.3 install — no prebuilt wheel yet; 3.12 confirmed working)</w:t>
      </w:r>
    </w:p>
    <w:p>
      <w:pPr>
        <w:pStyle w:val="ListParagraph"/>
        <w:numPr>
          <w:ilvl w:val="0"/>
          <w:numId w:val="1"/>
        </w:numPr>
        <w:spacing w:after="60"/>
      </w:pPr>
      <w:r>
        <w:t xml:space="preserve">LLM Provider: SAP AI Core / Generative AI Hub (ai-core-sdk, ai-api-client-sdk)</w:t>
      </w:r>
    </w:p>
    <w:p>
      <w:pPr>
        <w:pStyle w:val="ListParagraph"/>
        <w:numPr>
          <w:ilvl w:val="0"/>
          <w:numId w:val="1"/>
        </w:numPr>
        <w:spacing w:after="60"/>
      </w:pPr>
      <w:r>
        <w:t xml:space="preserve">Credentials: loaded via .env locally (python-dotenv, optional) — AICORE_AUTH_URL, AICORE_CLIENT_ID, AICORE_CLIENT_SECRET, AICORE_RESOURCE_GROUP, AICORE_BASE_URL. In production, these are injected directly by Cloud Foundry.</w:t>
      </w:r>
    </w:p>
    <w:p>
      <w:pPr>
        <w:pStyle w:val="ListParagraph"/>
        <w:numPr>
          <w:ilvl w:val="0"/>
          <w:numId w:val="1"/>
        </w:numPr>
        <w:spacing w:after="60"/>
      </w:pPr>
      <w:r>
        <w:t xml:space="preserve">Excel generation: openpyxl</w:t>
      </w:r>
    </w:p>
    <w:p>
      <w:pPr>
        <w:pStyle w:val="ListParagraph"/>
        <w:numPr>
          <w:ilvl w:val="0"/>
          <w:numId w:val="1"/>
        </w:numPr>
        <w:spacing w:after="60"/>
      </w:pPr>
      <w:r>
        <w:t xml:space="preserve">Framework: Flask (app.py — create_app() factory pattern, flask_cors enabled, routes via api_bp blueprint)</w:t>
      </w:r>
    </w:p>
    <w:p>
      <w:pPr>
        <w:pStyle w:val="ListParagraph"/>
        <w:numPr>
          <w:ilvl w:val="0"/>
          <w:numId w:val="1"/>
        </w:numPr>
        <w:spacing w:after="60"/>
      </w:pPr>
      <w:r>
        <w:t xml:space="preserve">Deployment target: SAP BTP Cloud Foundry (CF_PORT read from main/config/settings.py)</w:t>
      </w:r>
    </w:p>
    <w:p>
      <w:pPr>
        <w:pStyle w:val="Heading1"/>
        <w:spacing w:after="150" w:before="300"/>
      </w:pPr>
      <w:r>
        <w:t xml:space="preserve">8. Input / Output Contract</w:t>
      </w:r>
    </w:p>
    <w:p>
      <w:pPr>
        <w:pStyle w:val="Heading2"/>
        <w:spacing w:after="120" w:before="250"/>
      </w:pPr>
      <w:r>
        <w:t xml:space="preserve">Routes (Flask blueprint api_bp)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300"/>
      </w:tblGrid>
      <w:tr>
        <w:tc>
          <w:tcPr>
            <w:tcW w:type="dxa" w:w="1800"/>
            <w:shd w:fill="2E5395" w:val="clear"/>
          </w:tcPr>
          <w:p>
            <w:r>
              <w:rPr>
                <w:b/>
                <w:bCs/>
                <w:color w:val="FFFFFF"/>
                <w:sz w:val="20"/>
                <w:szCs w:val="20"/>
              </w:rPr>
              <w:t xml:space="preserve">Route</w:t>
            </w:r>
          </w:p>
        </w:tc>
        <w:tc>
          <w:tcPr>
            <w:tcW w:type="dxa" w:w="1400"/>
            <w:shd w:fill="2E5395" w:val="clear"/>
          </w:tcPr>
          <w:p>
            <w:r>
              <w:rPr>
                <w:b/>
                <w:bCs/>
                <w:color w:val="FFFFFF"/>
                <w:sz w:val="20"/>
                <w:szCs w:val="20"/>
              </w:rPr>
              <w:t xml:space="preserve">Method</w:t>
            </w:r>
          </w:p>
        </w:tc>
        <w:tc>
          <w:tcPr>
            <w:tcW w:type="dxa" w:w="6300"/>
            <w:shd w:fill="2E5395" w:val="clear"/>
          </w:tcPr>
          <w:p>
            <w:r>
              <w:rPr>
                <w:b/>
                <w:bCs/>
                <w:color w:val="FFFFFF"/>
                <w:sz w:val="20"/>
                <w:szCs w:val="20"/>
              </w:rPr>
              <w:t xml:space="preserve">Returns</w:t>
            </w:r>
          </w:p>
        </w:tc>
      </w:tr>
      <w:tr>
        <w:tc>
          <w:tcPr>
            <w:tcW w:type="dxa" w:w="1800"/>
          </w:tcPr>
          <w:p>
            <w:r>
              <w:rPr>
                <w:b w:val="false"/>
                <w:bCs w:val="false"/>
                <w:color w:val="000000"/>
                <w:sz w:val="20"/>
                <w:szCs w:val="20"/>
              </w:rPr>
              <w:t xml:space="preserve">/health</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{"status": "ok"}</w:t>
            </w:r>
          </w:p>
        </w:tc>
      </w:tr>
      <w:tr>
        <w:tc>
          <w:tcPr>
            <w:tcW w:type="dxa" w:w="1800"/>
          </w:tcPr>
          <w:p>
            <w:r>
              <w:rPr>
                <w:b w:val="false"/>
                <w:bCs w:val="false"/>
                <w:color w:val="000000"/>
                <w:sz w:val="20"/>
                <w:szCs w:val="20"/>
              </w:rPr>
              <w:t xml:space="preserve">/countries</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{"countries": [...]} via list_supported_countries()</w:t>
            </w:r>
          </w:p>
        </w:tc>
      </w:tr>
      <w:tr>
        <w:tc>
          <w:tcPr>
            <w:tcW w:type="dxa" w:w="1800"/>
          </w:tcPr>
          <w:p>
            <w:r>
              <w:rPr>
                <w:b w:val="false"/>
                <w:bCs w:val="false"/>
                <w:color w:val="000000"/>
                <w:sz w:val="20"/>
                <w:szCs w:val="20"/>
              </w:rPr>
              <w:t xml:space="preserve">/sheets</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{"sheets": [...]} — from AGENT_REGISTRY.keys()</w:t>
            </w:r>
          </w:p>
        </w:tc>
      </w:tr>
      <w:tr>
        <w:tc>
          <w:tcPr>
            <w:tcW w:type="dxa" w:w="1800"/>
          </w:tcPr>
          <w:p>
            <w:r>
              <w:rPr>
                <w:b w:val="false"/>
                <w:bCs w:val="false"/>
                <w:color w:val="000000"/>
                <w:sz w:val="20"/>
                <w:szCs w:val="20"/>
              </w:rPr>
              <w:t xml:space="preserve">/models</w:t>
            </w:r>
          </w:p>
        </w:tc>
        <w:tc>
          <w:tcPr>
            <w:tcW w:type="dxa" w:w="1400"/>
          </w:tcPr>
          <w:p>
            <w:r>
              <w:rPr>
                <w:b w:val="false"/>
                <w:bCs w:val="false"/>
                <w:color w:val="000000"/>
                <w:sz w:val="20"/>
                <w:szCs w:val="20"/>
              </w:rPr>
              <w:t xml:space="preserve">GET</w:t>
            </w:r>
          </w:p>
        </w:tc>
        <w:tc>
          <w:tcPr>
            <w:tcW w:type="dxa" w:w="6300"/>
          </w:tcPr>
          <w:p>
            <w:r>
              <w:rPr>
                <w:b w:val="false"/>
                <w:bCs w:val="false"/>
                <w:color w:val="000000"/>
                <w:sz w:val="20"/>
                <w:szCs w:val="20"/>
              </w:rPr>
              <w:t xml:space="preserve">supported LLM model names</w:t>
            </w:r>
          </w:p>
        </w:tc>
      </w:tr>
      <w:tr>
        <w:tc>
          <w:tcPr>
            <w:tcW w:type="dxa" w:w="1800"/>
          </w:tcPr>
          <w:p>
            <w:r>
              <w:rPr>
                <w:b w:val="false"/>
                <w:bCs w:val="false"/>
                <w:color w:val="000000"/>
                <w:sz w:val="20"/>
                <w:szCs w:val="20"/>
              </w:rPr>
              <w:t xml:space="preserve">/generate</w:t>
            </w:r>
          </w:p>
        </w:tc>
        <w:tc>
          <w:tcPr>
            <w:tcW w:type="dxa" w:w="1400"/>
          </w:tcPr>
          <w:p>
            <w:r>
              <w:rPr>
                <w:b w:val="false"/>
                <w:bCs w:val="false"/>
                <w:color w:val="000000"/>
                <w:sz w:val="20"/>
                <w:szCs w:val="20"/>
              </w:rPr>
              <w:t xml:space="preserve">POST</w:t>
            </w:r>
          </w:p>
        </w:tc>
        <w:tc>
          <w:tcPr>
            <w:tcW w:type="dxa" w:w="6300"/>
          </w:tcPr>
          <w:p>
            <w:r>
              <w:rPr>
                <w:b w:val="false"/>
                <w:bCs w:val="false"/>
                <w:color w:val="000000"/>
                <w:sz w:val="20"/>
                <w:szCs w:val="20"/>
              </w:rPr>
              <w:t xml:space="preserve">streamed .xlsx workbook</w:t>
            </w:r>
          </w:p>
        </w:tc>
      </w:tr>
    </w:tbl>
    <w:p>
      <w:pPr>
        <w:spacing w:after="120"/>
      </w:pPr>
      <w:r>
        <w:t xml:space="preserve"> </w:t>
      </w:r>
    </w:p>
    <w:p>
      <w:pPr>
        <w:spacing w:after="120"/>
      </w:pPr>
      <w:r>
        <w:t xml:space="preserve">Agent Registry: main/agents/__init__.py exposes AGENT_REGISTRY, a sheet-name → agent-class mapping. The orchestrator and the /sheets endpoint both read from this registry — agent dispatch is registry-driven, not hardcoded conditional logic.</w:t>
      </w:r>
    </w:p>
    <w:p>
      <w:pPr>
        <w:spacing w:after="120"/>
      </w:pPr>
      <w:r>
        <w:t xml:space="preserve">Error handling: dedicated exception types — OrchestratorError (core/orchestrator.py) and CountryConfigError (data/country_loader.py) — distinguish orchestration failures from invalid/missing country configuration.</w:t>
      </w:r>
    </w:p>
    <w:p>
      <w:pPr>
        <w:pStyle w:val="Heading2"/>
        <w:spacing w:after="120" w:before="250"/>
      </w:pPr>
      <w:r>
        <w:t xml:space="preserve">Sample Request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POST /generate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"country": "Austria",</w:t>
      </w:r>
      <w:r>
        <w:br/>
      </w:r>
      <w:r>
        <w:rPr>
          <w:rFonts w:ascii="Consolas" w:cs="Consolas" w:eastAsia="Consolas" w:hAnsi="Consolas"/>
          <w:sz w:val="18"/>
          <w:szCs w:val="18"/>
        </w:rPr>
        <w:t xml:space="preserve">  "sheets": ["requirement_overview", "configuration_details",</w:t>
      </w:r>
      <w:r>
        <w:br/>
      </w:r>
      <w:r>
        <w:rPr>
          <w:rFonts w:ascii="Consolas" w:cs="Consolas" w:eastAsia="Consolas" w:hAnsi="Consolas"/>
          <w:sz w:val="18"/>
          <w:szCs w:val="18"/>
        </w:rPr>
        <w:t xml:space="preserve">             "master_data", "reporting_compliance",</w:t>
      </w:r>
      <w:r>
        <w:br/>
      </w:r>
      <w:r>
        <w:rPr>
          <w:rFonts w:ascii="Consolas" w:cs="Consolas" w:eastAsia="Consolas" w:hAnsi="Consolas"/>
          <w:sz w:val="18"/>
          <w:szCs w:val="18"/>
        </w:rPr>
        <w:t xml:space="preserve">             "configuration_sequence", "test_scenarios"]</w:t>
      </w:r>
      <w:r>
        <w:br/>
      </w:r>
      <w:r>
        <w:rPr>
          <w:rFonts w:ascii="Consolas" w:cs="Consolas" w:eastAsia="Consolas" w:hAnsi="Consolas"/>
          <w:sz w:val="18"/>
          <w:szCs w:val="18"/>
        </w:rPr>
        <w:t xml:space="preserve">}</w:t>
      </w:r>
    </w:p>
    <w:p>
      <w:pPr>
        <w:spacing w:after="120"/>
      </w:pPr>
      <w:r>
        <w:t xml:space="preserve">Response: streamed .xlsx file — one sheet per requested agent, styled to match the reference "golden file" format.</w:t>
      </w:r>
    </w:p>
    <w:p>
      <w:pPr>
        <w:pStyle w:val="Heading1"/>
        <w:spacing w:after="150" w:before="300"/>
      </w:pPr>
      <w:r>
        <w:t xml:space="preserve">9. Sample Output Summary (Austria)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5395" w:val="clear"/>
          </w:tcPr>
          <w:p>
            <w:r>
              <w:rPr>
                <w:b/>
                <w:bCs/>
                <w:color w:val="FFFFFF"/>
                <w:sz w:val="20"/>
                <w:szCs w:val="20"/>
              </w:rPr>
              <w:t xml:space="preserve">Sheet</w:t>
            </w:r>
          </w:p>
        </w:tc>
        <w:tc>
          <w:tcPr>
            <w:tcW w:type="dxa" w:w="6500"/>
            <w:shd w:fill="2E5395" w:val="clear"/>
          </w:tcPr>
          <w:p>
            <w:r>
              <w:rPr>
                <w:b/>
                <w:bCs/>
                <w:color w:val="FFFFFF"/>
                <w:sz w:val="20"/>
                <w:szCs w:val="20"/>
              </w:rPr>
              <w:t xml:space="preserve">Row Example</w:t>
            </w:r>
          </w:p>
        </w:tc>
      </w:tr>
      <w:tr>
        <w:tc>
          <w:tcPr>
            <w:tcW w:type="dxa" w:w="3000"/>
          </w:tcPr>
          <w:p>
            <w:r>
              <w:rPr>
                <w:b w:val="false"/>
                <w:bCs w:val="false"/>
                <w:color w:val="000000"/>
                <w:sz w:val="20"/>
                <w:szCs w:val="20"/>
              </w:rPr>
              <w:t xml:space="preserve">Requirement Overview</w:t>
            </w:r>
          </w:p>
        </w:tc>
        <w:tc>
          <w:tcPr>
            <w:tcW w:type="dxa" w:w="6500"/>
          </w:tcPr>
          <w:p>
            <w:r>
              <w:rPr>
                <w:b w:val="false"/>
                <w:bCs w:val="false"/>
                <w:color w:val="000000"/>
                <w:sz w:val="20"/>
                <w:szCs w:val="20"/>
              </w:rPr>
              <w:t xml:space="preserve">AT-LOC-004 — VAT Tax Codes — L3: 1.4.1 GL Reporting Tax Reports</w:t>
            </w:r>
          </w:p>
        </w:tc>
      </w:tr>
      <w:tr>
        <w:tc>
          <w:tcPr>
            <w:tcW w:type="dxa" w:w="3000"/>
          </w:tcPr>
          <w:p>
            <w:r>
              <w:rPr>
                <w:b w:val="false"/>
                <w:bCs w:val="false"/>
                <w:color w:val="000000"/>
                <w:sz w:val="20"/>
                <w:szCs w:val="20"/>
              </w:rPr>
              <w:t xml:space="preserve">Configuration Details</w:t>
            </w:r>
          </w:p>
        </w:tc>
        <w:tc>
          <w:tcPr>
            <w:tcW w:type="dxa" w:w="6500"/>
          </w:tcPr>
          <w:p>
            <w:r>
              <w:rPr>
                <w:b w:val="false"/>
                <w:bCs w:val="false"/>
                <w:color w:val="000000"/>
                <w:sz w:val="20"/>
                <w:szCs w:val="20"/>
              </w:rPr>
              <w:t xml:space="preserve">AT-LOC-004 — Configure VAT codes and accounts — T-codes: FTXP, OBYZ, OB40</w:t>
            </w:r>
          </w:p>
        </w:tc>
      </w:tr>
      <w:tr>
        <w:tc>
          <w:tcPr>
            <w:tcW w:type="dxa" w:w="3000"/>
          </w:tcPr>
          <w:p>
            <w:r>
              <w:rPr>
                <w:b w:val="false"/>
                <w:bCs w:val="false"/>
                <w:color w:val="000000"/>
                <w:sz w:val="20"/>
                <w:szCs w:val="20"/>
              </w:rPr>
              <w:t xml:space="preserve">Master Data</w:t>
            </w:r>
          </w:p>
        </w:tc>
        <w:tc>
          <w:tcPr>
            <w:tcW w:type="dxa" w:w="6500"/>
          </w:tcPr>
          <w:p>
            <w:r>
              <w:rPr>
                <w:b w:val="false"/>
                <w:bCs w:val="false"/>
                <w:color w:val="000000"/>
                <w:sz w:val="20"/>
                <w:szCs w:val="20"/>
              </w:rPr>
              <w:t xml:space="preserve">Tax Code — VAT rate, EU transaction code, reverse charge indicator</w:t>
            </w:r>
          </w:p>
        </w:tc>
      </w:tr>
      <w:tr>
        <w:tc>
          <w:tcPr>
            <w:tcW w:type="dxa" w:w="3000"/>
          </w:tcPr>
          <w:p>
            <w:r>
              <w:rPr>
                <w:b w:val="false"/>
                <w:bCs w:val="false"/>
                <w:color w:val="000000"/>
                <w:sz w:val="20"/>
                <w:szCs w:val="20"/>
              </w:rPr>
              <w:t xml:space="preserve">Reporting Compliance</w:t>
            </w:r>
          </w:p>
        </w:tc>
        <w:tc>
          <w:tcPr>
            <w:tcW w:type="dxa" w:w="6500"/>
          </w:tcPr>
          <w:p>
            <w:r>
              <w:rPr>
                <w:b w:val="false"/>
                <w:bCs w:val="false"/>
                <w:color w:val="000000"/>
                <w:sz w:val="20"/>
                <w:szCs w:val="20"/>
              </w:rPr>
              <w:t xml:space="preserve">AT-RPT-001 — Preliminary VAT Return UVA/U30 — High complexity</w:t>
            </w:r>
          </w:p>
        </w:tc>
      </w:tr>
      <w:tr>
        <w:tc>
          <w:tcPr>
            <w:tcW w:type="dxa" w:w="3000"/>
          </w:tcPr>
          <w:p>
            <w:r>
              <w:rPr>
                <w:b w:val="false"/>
                <w:bCs w:val="false"/>
                <w:color w:val="000000"/>
                <w:sz w:val="20"/>
                <w:szCs w:val="20"/>
              </w:rPr>
              <w:t xml:space="preserve">Configuration Sequence</w:t>
            </w:r>
          </w:p>
        </w:tc>
        <w:tc>
          <w:tcPr>
            <w:tcW w:type="dxa" w:w="6500"/>
          </w:tcPr>
          <w:p>
            <w:r>
              <w:rPr>
                <w:b w:val="false"/>
                <w:bCs w:val="false"/>
                <w:color w:val="000000"/>
                <w:sz w:val="20"/>
                <w:szCs w:val="20"/>
              </w:rPr>
              <w:t xml:space="preserve">Step 3 — VAT — Configure 20/13/10% rates — Owner: Tax Lead</w:t>
            </w:r>
          </w:p>
        </w:tc>
      </w:tr>
      <w:tr>
        <w:tc>
          <w:tcPr>
            <w:tcW w:type="dxa" w:w="3000"/>
          </w:tcPr>
          <w:p>
            <w:r>
              <w:rPr>
                <w:b w:val="false"/>
                <w:bCs w:val="false"/>
                <w:color w:val="000000"/>
                <w:sz w:val="20"/>
                <w:szCs w:val="20"/>
              </w:rPr>
              <w:t xml:space="preserve">Test Scenarios</w:t>
            </w:r>
          </w:p>
        </w:tc>
        <w:tc>
          <w:tcPr>
            <w:tcW w:type="dxa" w:w="6500"/>
          </w:tcPr>
          <w:p>
            <w:r>
              <w:rPr>
                <w:b w:val="false"/>
                <w:bCs w:val="false"/>
                <w:color w:val="000000"/>
                <w:sz w:val="20"/>
                <w:szCs w:val="20"/>
              </w:rPr>
              <w:t xml:space="preserve">AT-TC-002 — Post transaction with Austrian VAT rates</w:t>
            </w:r>
          </w:p>
        </w:tc>
      </w:tr>
    </w:tbl>
    <w:p>
      <w:pPr>
        <w:spacing w:after="120"/>
      </w:pPr>
      <w:r>
        <w:t xml:space="preserve"> </w:t>
      </w:r>
    </w:p>
    <w:p>
      <w:pPr>
        <w:spacing w:after="120"/>
      </w:pPr>
      <w:r>
        <w:t xml:space="preserve">Cross-sheet traceability was verified: the same underlying requirement (e.g., VAT Tax Codes) is represented consistently across all six sheets with matching context, confirming the shared L3 master and country config are applied coherently across all agents.</w:t>
      </w:r>
    </w:p>
    <w:p>
      <w:pPr>
        <w:pStyle w:val="Heading1"/>
        <w:spacing w:after="150" w:before="300"/>
      </w:pPr>
      <w:r>
        <w:t xml:space="preserve">10. Known Gaps / Next Phases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c>
          <w:tcPr>
            <w:tcW w:type="dxa" w:w="6500"/>
            <w:shd w:fill="2E5395" w:val="clear"/>
          </w:tcPr>
          <w:p>
            <w:r>
              <w:rPr>
                <w:b/>
                <w:bCs/>
                <w:color w:val="FFFFFF"/>
                <w:sz w:val="20"/>
                <w:szCs w:val="20"/>
              </w:rPr>
              <w:t xml:space="preserve">Phase</w:t>
            </w:r>
          </w:p>
        </w:tc>
        <w:tc>
          <w:tcPr>
            <w:tcW w:type="dxa" w:w="3000"/>
            <w:shd w:fill="2E5395" w:val="clear"/>
          </w:tcPr>
          <w:p>
            <w:r>
              <w:rPr>
                <w:b/>
                <w:bCs/>
                <w:color w:val="FFFFFF"/>
                <w:sz w:val="20"/>
                <w:szCs w:val="20"/>
              </w:rPr>
              <w:t xml:space="preserve">Status</w:t>
            </w:r>
          </w:p>
        </w:tc>
      </w:tr>
      <w:tr>
        <w:tc>
          <w:tcPr>
            <w:tcW w:type="dxa" w:w="6500"/>
          </w:tcPr>
          <w:p>
            <w:r>
              <w:rPr>
                <w:b w:val="false"/>
                <w:bCs w:val="false"/>
                <w:color w:val="000000"/>
                <w:sz w:val="20"/>
                <w:szCs w:val="20"/>
              </w:rPr>
              <w:t xml:space="preserve">Phase 1 — Austria, Requirement Overview only</w:t>
            </w:r>
          </w:p>
        </w:tc>
        <w:tc>
          <w:tcPr>
            <w:tcW w:type="dxa" w:w="30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Phase 2 — Configuration Details + Master Data agents</w:t>
            </w:r>
          </w:p>
        </w:tc>
        <w:tc>
          <w:tcPr>
            <w:tcW w:type="dxa" w:w="3000"/>
          </w:tcPr>
          <w:p>
            <w:r>
              <w:rPr>
                <w:b w:val="false"/>
                <w:bCs w:val="false"/>
                <w:color w:val="000000"/>
                <w:sz w:val="20"/>
                <w:szCs w:val="20"/>
              </w:rPr>
              <w:t xml:space="preserve">Complete</w:t>
            </w:r>
          </w:p>
        </w:tc>
      </w:tr>
      <w:tr>
        <w:tc>
          <w:tcPr>
            <w:tcW w:type="dxa" w:w="6500"/>
          </w:tcPr>
          <w:p>
            <w:r>
              <w:rPr>
                <w:b w:val="false"/>
                <w:bCs w:val="false"/>
                <w:color w:val="000000"/>
                <w:sz w:val="20"/>
                <w:szCs w:val="20"/>
              </w:rPr>
              <w:t xml:space="preserve">Phase 3 — Remaining sheets (Reporting, Test Scenarios, OSS Notes)</w:t>
            </w:r>
          </w:p>
        </w:tc>
        <w:tc>
          <w:tcPr>
            <w:tcW w:type="dxa" w:w="3000"/>
          </w:tcPr>
          <w:p>
            <w:r>
              <w:rPr>
                <w:b w:val="false"/>
                <w:bCs w:val="false"/>
                <w:color w:val="000000"/>
                <w:sz w:val="20"/>
                <w:szCs w:val="20"/>
              </w:rPr>
              <w:t xml:space="preserve">Complete (confirm OSS Notes)</w:t>
            </w:r>
          </w:p>
        </w:tc>
      </w:tr>
      <w:tr>
        <w:tc>
          <w:tcPr>
            <w:tcW w:type="dxa" w:w="6500"/>
          </w:tcPr>
          <w:p>
            <w:r>
              <w:rPr>
                <w:b w:val="false"/>
                <w:bCs w:val="false"/>
                <w:color w:val="000000"/>
                <w:sz w:val="20"/>
                <w:szCs w:val="20"/>
              </w:rPr>
              <w:t xml:space="preserve">Phase 4 — Add France, UK, Italy country configs</w:t>
            </w:r>
          </w:p>
        </w:tc>
        <w:tc>
          <w:tcPr>
            <w:tcW w:type="dxa" w:w="3000"/>
          </w:tcPr>
          <w:p>
            <w:r>
              <w:rPr>
                <w:b w:val="false"/>
                <w:bCs w:val="false"/>
                <w:color w:val="000000"/>
                <w:sz w:val="20"/>
                <w:szCs w:val="20"/>
              </w:rPr>
              <w:t xml:space="preserve">Not started</w:t>
            </w:r>
          </w:p>
        </w:tc>
      </w:tr>
      <w:tr>
        <w:tc>
          <w:tcPr>
            <w:tcW w:type="dxa" w:w="6500"/>
          </w:tcPr>
          <w:p>
            <w:r>
              <w:rPr>
                <w:b w:val="false"/>
                <w:bCs w:val="false"/>
                <w:color w:val="000000"/>
                <w:sz w:val="20"/>
                <w:szCs w:val="20"/>
              </w:rPr>
              <w:t xml:space="preserve">Phase 5 — Persistence (job queue/DB), auth, monitoring</w:t>
            </w:r>
          </w:p>
        </w:tc>
        <w:tc>
          <w:tcPr>
            <w:tcW w:type="dxa" w:w="3000"/>
          </w:tcPr>
          <w:p>
            <w:r>
              <w:rPr>
                <w:b w:val="false"/>
                <w:bCs w:val="false"/>
                <w:color w:val="000000"/>
                <w:sz w:val="20"/>
                <w:szCs w:val="20"/>
              </w:rPr>
              <w:t xml:space="preserve">Not started</w:t>
            </w:r>
          </w:p>
        </w:tc>
      </w:tr>
    </w:tbl>
    <w:p>
      <w:pPr>
        <w:pStyle w:val="Heading1"/>
        <w:spacing w:after="150" w:before="300"/>
      </w:pPr>
      <w:r>
        <w:t xml:space="preserve">11. Open Questions for Handover</w:t>
      </w:r>
    </w:p>
    <w:p>
      <w:pPr>
        <w:spacing w:after="60"/>
      </w:pPr>
      <w:r>
        <w:t xml:space="preserve">☐ Is OSS Notes agent tested end-to-end, or only scaffolded?</w:t>
      </w:r>
    </w:p>
    <w:p>
      <w:pPr>
        <w:spacing w:after="60"/>
      </w:pPr>
      <w:r>
        <w:t xml:space="preserve">☐ Are Stage 2/3 guardrails tested against intentionally malformed input (missing L3 entries, ambiguous legal facts)?</w:t>
      </w:r>
    </w:p>
    <w:p>
      <w:pPr>
        <w:spacing w:after="60"/>
      </w:pPr>
      <w:r>
        <w:t xml:space="preserve">☐ What is the retry/failure behavior surfaced to the API caller if Stage 4 validation fails twice?</w:t>
      </w:r>
    </w:p>
    <w:p>
      <w:pPr>
        <w:spacing w:after="60"/>
      </w:pPr>
      <w:r>
        <w:t xml:space="preserve">☐ Are there rate-limit/cost figures per agent run (LLM calls x stages x sheets) to budget for scale-out to more countries?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053c3e06967688a7b958081c1f5a48da21dbf3.png"/><Relationship Id="rId8" Type="http://schemas.openxmlformats.org/officeDocument/2006/relationships/image" Target="media/87c72d3f6bd95e743957c0a70f35dd0f1b6d745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2026-09-09T06:32:44.142Z</dcterms:created>
  <dcterms:modified xsi:type="dcterms:W3CDTF">2026-09-09T06:32:44.154Z</dcterms:modified>
</cp:coreProperties>
</file>

<file path=docProps/custom.xml><?xml version="1.0" encoding="utf-8"?>
<Properties xmlns="http://schemas.openxmlformats.org/officeDocument/2006/custom-properties" xmlns:vt="http://schemas.openxmlformats.org/officeDocument/2006/docPropsVTypes"/>
</file>