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9E056" w14:textId="0ECCC4F5" w:rsidR="00B207FB" w:rsidRDefault="00DA46FA">
      <w:r>
        <w:rPr>
          <w:rFonts w:ascii="Calibri" w:hAnsi="Calibri" w:cs="Calibri"/>
          <w:b/>
          <w:bCs/>
          <w:i/>
          <w:iCs/>
          <w:color w:val="000000"/>
          <w:shd w:val="clear" w:color="auto" w:fill="FFFFFF"/>
        </w:rPr>
        <w:t>Write a Java program using springboot and streaming tool</w:t>
      </w:r>
      <w:r w:rsidR="00835A2E">
        <w:rPr>
          <w:rFonts w:ascii="Calibri" w:hAnsi="Calibri" w:cs="Calibri"/>
          <w:b/>
          <w:bCs/>
          <w:i/>
          <w:iCs/>
          <w:color w:val="000000"/>
          <w:shd w:val="clear" w:color="auto" w:fill="FFFFFF"/>
        </w:rPr>
        <w:t>, SQL/NoSQL DB</w:t>
      </w:r>
      <w:r>
        <w:rPr>
          <w:rFonts w:ascii="Calibri" w:hAnsi="Calibri" w:cs="Calibri"/>
          <w:b/>
          <w:bCs/>
          <w:i/>
          <w:iCs/>
          <w:color w:val="000000"/>
          <w:shd w:val="clear" w:color="auto" w:fill="FFFFFF"/>
        </w:rPr>
        <w:t xml:space="preserve"> along with all the JUNIT cases. TDD approach will be preferred. Please provide a </w:t>
      </w:r>
      <w:r w:rsidRPr="002B5FDA">
        <w:rPr>
          <w:rFonts w:ascii="Calibri" w:hAnsi="Calibri" w:cs="Calibri"/>
          <w:b/>
          <w:bCs/>
          <w:i/>
          <w:iCs/>
          <w:color w:val="000000"/>
          <w:shd w:val="clear" w:color="auto" w:fill="FFFFFF"/>
        </w:rPr>
        <w:t>pipeline</w:t>
      </w:r>
      <w:r>
        <w:rPr>
          <w:rFonts w:ascii="Calibri" w:hAnsi="Calibri" w:cs="Calibri"/>
          <w:b/>
          <w:bCs/>
          <w:i/>
          <w:iCs/>
          <w:color w:val="000000"/>
          <w:shd w:val="clear" w:color="auto" w:fill="FFFFFF"/>
        </w:rPr>
        <w:t xml:space="preserve"> to deploy the application </w:t>
      </w:r>
      <w:r w:rsidR="002B5FDA">
        <w:rPr>
          <w:rFonts w:ascii="Calibri" w:hAnsi="Calibri" w:cs="Calibri"/>
          <w:b/>
          <w:bCs/>
          <w:i/>
          <w:iCs/>
          <w:color w:val="000000"/>
          <w:shd w:val="clear" w:color="auto" w:fill="FFFFFF"/>
        </w:rPr>
        <w:t>preferably</w:t>
      </w:r>
      <w:r>
        <w:rPr>
          <w:rFonts w:ascii="Calibri" w:hAnsi="Calibri" w:cs="Calibri"/>
          <w:b/>
          <w:bCs/>
          <w:i/>
          <w:iCs/>
          <w:color w:val="000000"/>
          <w:shd w:val="clear" w:color="auto" w:fill="FFFFFF"/>
        </w:rPr>
        <w:t xml:space="preserve"> using github actions</w:t>
      </w:r>
      <w:r w:rsidR="002B5FDA">
        <w:rPr>
          <w:rFonts w:ascii="Calibri" w:hAnsi="Calibri" w:cs="Calibri"/>
          <w:b/>
          <w:bCs/>
          <w:i/>
          <w:iCs/>
          <w:color w:val="000000"/>
          <w:shd w:val="clear" w:color="auto" w:fill="FFFFFF"/>
        </w:rPr>
        <w:t xml:space="preserve"> if not then jenkins</w:t>
      </w:r>
      <w:r>
        <w:rPr>
          <w:rFonts w:ascii="Calibri" w:hAnsi="Calibri" w:cs="Calibri"/>
          <w:b/>
          <w:bCs/>
          <w:i/>
          <w:iCs/>
          <w:color w:val="000000"/>
          <w:shd w:val="clear" w:color="auto" w:fill="FFFFFF"/>
        </w:rPr>
        <w:t>. The pipeline must have automation regression, OSS vulnerability check (If critical or blocker found then fail the build)</w:t>
      </w:r>
      <w:r w:rsidR="00B8335A">
        <w:rPr>
          <w:rFonts w:ascii="Calibri" w:hAnsi="Calibri" w:cs="Calibri"/>
          <w:b/>
          <w:bCs/>
          <w:i/>
          <w:iCs/>
          <w:color w:val="000000"/>
          <w:shd w:val="clear" w:color="auto" w:fill="FFFFFF"/>
        </w:rPr>
        <w:t>.</w:t>
      </w:r>
    </w:p>
    <w:p w14:paraId="352020AE" w14:textId="77777777" w:rsidR="000E27FB" w:rsidRPr="00365014" w:rsidRDefault="000E27FB">
      <w:pPr>
        <w:rPr>
          <w:b/>
          <w:u w:val="single"/>
        </w:rPr>
      </w:pPr>
      <w:r w:rsidRPr="00365014">
        <w:rPr>
          <w:b/>
          <w:u w:val="single"/>
        </w:rPr>
        <w:t>Problem Statement</w:t>
      </w:r>
    </w:p>
    <w:p w14:paraId="2C927A18" w14:textId="77777777" w:rsidR="00B207FB" w:rsidRDefault="00365014">
      <w:r>
        <w:t xml:space="preserve">There is a scenario where </w:t>
      </w:r>
      <w:r w:rsidRPr="007A3B9B">
        <w:rPr>
          <w:b/>
          <w:bCs/>
        </w:rPr>
        <w:t>thousands</w:t>
      </w:r>
      <w:r>
        <w:t xml:space="preserve"> of trades are flowing into one store, assume any way of </w:t>
      </w:r>
      <w:r w:rsidRPr="00393D32">
        <w:rPr>
          <w:b/>
          <w:bCs/>
        </w:rPr>
        <w:t>transmission</w:t>
      </w:r>
      <w:r w:rsidR="00B22E15">
        <w:t xml:space="preserve"> of trades</w:t>
      </w:r>
      <w:r>
        <w:t xml:space="preserve">. </w:t>
      </w:r>
      <w:r w:rsidR="00B207FB">
        <w:t>We need to create a one trade store, which stores the trade in the following order</w:t>
      </w:r>
    </w:p>
    <w:p w14:paraId="0A62BE1E" w14:textId="77777777"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14:paraId="4382D7BF"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9243EBF" w14:textId="77777777" w:rsidR="00A32FE3" w:rsidRDefault="00A32FE3">
            <w:r>
              <w:t>Trade Id</w:t>
            </w:r>
          </w:p>
        </w:tc>
        <w:tc>
          <w:tcPr>
            <w:tcW w:w="1229" w:type="dxa"/>
          </w:tcPr>
          <w:p w14:paraId="4E87E18E"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4DE4D8F4"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5F63F6B5"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18FC7771"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287EDCEE"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25EE56C0"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34808429"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D9B859E" w14:textId="77777777" w:rsidR="00A32FE3" w:rsidRDefault="00A32FE3">
            <w:r>
              <w:t>T1</w:t>
            </w:r>
          </w:p>
        </w:tc>
        <w:tc>
          <w:tcPr>
            <w:tcW w:w="1229" w:type="dxa"/>
          </w:tcPr>
          <w:p w14:paraId="2261BFF6"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1B0E17BC"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06B15933"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5CB79B18"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0AC5CFF3"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61C743CA"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0AE52CD2"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415AE253" w14:textId="77777777" w:rsidR="00A32FE3" w:rsidRDefault="00A32FE3">
            <w:r>
              <w:t>T2</w:t>
            </w:r>
          </w:p>
        </w:tc>
        <w:tc>
          <w:tcPr>
            <w:tcW w:w="1229" w:type="dxa"/>
          </w:tcPr>
          <w:p w14:paraId="56A9644A"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3B79586E"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39423CDE"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3D25E05F"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711D808A"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13D91AC8"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4096A174"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14F536AE" w14:textId="77777777" w:rsidR="00A32FE3" w:rsidRDefault="00A32FE3">
            <w:r>
              <w:t>T2</w:t>
            </w:r>
          </w:p>
        </w:tc>
        <w:tc>
          <w:tcPr>
            <w:tcW w:w="1229" w:type="dxa"/>
          </w:tcPr>
          <w:p w14:paraId="1E3F6224"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00A4CA03"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4CE67AC7"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41010C25"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603BC34D"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6FC05555"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0234A9B8"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6DBCB77B" w14:textId="77777777" w:rsidR="00A32FE3" w:rsidRDefault="00A32FE3">
            <w:r>
              <w:t>T3</w:t>
            </w:r>
          </w:p>
        </w:tc>
        <w:tc>
          <w:tcPr>
            <w:tcW w:w="1229" w:type="dxa"/>
          </w:tcPr>
          <w:p w14:paraId="7BD7C970"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2057D349"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64516C43"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22B330E4"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4F67598B"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4AE3049C"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395FB18A" w14:textId="77777777" w:rsidR="000E27FB" w:rsidRDefault="000E27FB"/>
    <w:p w14:paraId="272ACFBB" w14:textId="77777777" w:rsidR="00365014" w:rsidRDefault="00365014">
      <w:r>
        <w:t>There are couples of validation, we need to provide in the above assignment</w:t>
      </w:r>
    </w:p>
    <w:p w14:paraId="30700630" w14:textId="77777777"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14:paraId="54AA1D54" w14:textId="77777777" w:rsidR="00B22E15" w:rsidRDefault="00A32FE3" w:rsidP="00365014">
      <w:pPr>
        <w:pStyle w:val="ListParagraph"/>
        <w:numPr>
          <w:ilvl w:val="0"/>
          <w:numId w:val="1"/>
        </w:numPr>
      </w:pPr>
      <w:r>
        <w:t>Store should not allow the trade which has less maturity date then today date.</w:t>
      </w:r>
    </w:p>
    <w:p w14:paraId="1D33FAB5" w14:textId="77777777" w:rsidR="00A32FE3" w:rsidRDefault="00A32FE3" w:rsidP="00365014">
      <w:pPr>
        <w:pStyle w:val="ListParagraph"/>
        <w:numPr>
          <w:ilvl w:val="0"/>
          <w:numId w:val="1"/>
        </w:numPr>
      </w:pPr>
      <w:r>
        <w:t>Store should automatically update the expire flag if in a store the trade crosses the maturity date.</w:t>
      </w:r>
    </w:p>
    <w:p w14:paraId="4A7252F4" w14:textId="77777777" w:rsidR="002A58D2" w:rsidRDefault="002A58D2" w:rsidP="002A58D2"/>
    <w:p w14:paraId="6E25A766" w14:textId="410DD35C" w:rsidR="00A32FE3" w:rsidRPr="002A58D2" w:rsidRDefault="002A58D2" w:rsidP="002A58D2">
      <w:pPr>
        <w:rPr>
          <w:b/>
          <w:bCs/>
        </w:rPr>
      </w:pPr>
      <w:r w:rsidRPr="002A58D2">
        <w:rPr>
          <w:b/>
          <w:bCs/>
        </w:rPr>
        <w:t xml:space="preserve">Here are unit test cases as per TDD approach – </w:t>
      </w:r>
    </w:p>
    <w:p w14:paraId="55131B33" w14:textId="270CF79B" w:rsidR="002A58D2" w:rsidRPr="002A58D2" w:rsidRDefault="002A58D2" w:rsidP="002A58D2">
      <w:pPr>
        <w:pStyle w:val="ListParagraph"/>
        <w:numPr>
          <w:ilvl w:val="0"/>
          <w:numId w:val="2"/>
        </w:numPr>
      </w:pPr>
      <w:r>
        <w:t xml:space="preserve">A test case which should save </w:t>
      </w:r>
      <w:r w:rsidRPr="002A58D2">
        <w:rPr>
          <w:lang w:val="en-IN"/>
        </w:rPr>
        <w:t>a new trade if no existing trade is found</w:t>
      </w:r>
      <w:r>
        <w:rPr>
          <w:lang w:val="en-IN"/>
        </w:rPr>
        <w:t>.</w:t>
      </w:r>
    </w:p>
    <w:p w14:paraId="5533478C" w14:textId="446CD1F8" w:rsidR="002A58D2" w:rsidRPr="002A58D2" w:rsidRDefault="002A58D2" w:rsidP="002A58D2">
      <w:pPr>
        <w:pStyle w:val="ListParagraph"/>
        <w:numPr>
          <w:ilvl w:val="0"/>
          <w:numId w:val="2"/>
        </w:numPr>
      </w:pPr>
      <w:r>
        <w:rPr>
          <w:lang w:val="en-IN"/>
        </w:rPr>
        <w:t>A test case which s</w:t>
      </w:r>
      <w:r w:rsidRPr="002A58D2">
        <w:rPr>
          <w:lang w:val="en-IN"/>
        </w:rPr>
        <w:t>hould override existing trade if incoming version is same</w:t>
      </w:r>
      <w:r>
        <w:rPr>
          <w:lang w:val="en-IN"/>
        </w:rPr>
        <w:t xml:space="preserve"> or higher.</w:t>
      </w:r>
    </w:p>
    <w:p w14:paraId="639A0E0E" w14:textId="292293D5" w:rsidR="002A58D2" w:rsidRPr="002A58D2" w:rsidRDefault="002A58D2" w:rsidP="002A58D2">
      <w:pPr>
        <w:pStyle w:val="ListParagraph"/>
        <w:numPr>
          <w:ilvl w:val="0"/>
          <w:numId w:val="2"/>
        </w:numPr>
      </w:pPr>
      <w:r>
        <w:rPr>
          <w:lang w:val="en-IN"/>
        </w:rPr>
        <w:t>A test case which s</w:t>
      </w:r>
      <w:r w:rsidRPr="002A58D2">
        <w:rPr>
          <w:lang w:val="en-IN"/>
        </w:rPr>
        <w:t xml:space="preserve">hould reject </w:t>
      </w:r>
      <w:r>
        <w:rPr>
          <w:lang w:val="en-IN"/>
        </w:rPr>
        <w:t xml:space="preserve">the </w:t>
      </w:r>
      <w:r w:rsidRPr="002A58D2">
        <w:rPr>
          <w:lang w:val="en-IN"/>
        </w:rPr>
        <w:t>trade if incoming version is lower than existing</w:t>
      </w:r>
      <w:r>
        <w:rPr>
          <w:lang w:val="en-IN"/>
        </w:rPr>
        <w:t>.</w:t>
      </w:r>
    </w:p>
    <w:p w14:paraId="16F1D8F2" w14:textId="7497108B" w:rsidR="002A58D2" w:rsidRPr="002A58D2" w:rsidRDefault="002A58D2" w:rsidP="002A58D2">
      <w:pPr>
        <w:pStyle w:val="ListParagraph"/>
        <w:numPr>
          <w:ilvl w:val="0"/>
          <w:numId w:val="2"/>
        </w:numPr>
      </w:pPr>
      <w:r>
        <w:rPr>
          <w:lang w:val="en-IN"/>
        </w:rPr>
        <w:t xml:space="preserve">A test case which should reject the trade if </w:t>
      </w:r>
      <w:r w:rsidRPr="002A58D2">
        <w:rPr>
          <w:lang w:val="en-IN"/>
        </w:rPr>
        <w:t xml:space="preserve">maturity date </w:t>
      </w:r>
      <w:r>
        <w:rPr>
          <w:lang w:val="en-IN"/>
        </w:rPr>
        <w:t>is already passed.</w:t>
      </w:r>
    </w:p>
    <w:p w14:paraId="72B35814" w14:textId="62629975" w:rsidR="002A58D2" w:rsidRPr="002A58D2" w:rsidRDefault="002A58D2" w:rsidP="002A58D2">
      <w:pPr>
        <w:pStyle w:val="ListParagraph"/>
        <w:numPr>
          <w:ilvl w:val="0"/>
          <w:numId w:val="2"/>
        </w:numPr>
      </w:pPr>
      <w:r>
        <w:rPr>
          <w:lang w:val="en-IN"/>
        </w:rPr>
        <w:t xml:space="preserve">A test case which should </w:t>
      </w:r>
      <w:r w:rsidRPr="002A58D2">
        <w:rPr>
          <w:lang w:val="en-IN"/>
        </w:rPr>
        <w:t>update expired flag for trades past their maturity date</w:t>
      </w:r>
      <w:r>
        <w:rPr>
          <w:lang w:val="en-IN"/>
        </w:rPr>
        <w:t>.</w:t>
      </w:r>
    </w:p>
    <w:p w14:paraId="2C2DD8B1" w14:textId="0288064A" w:rsidR="002A58D2" w:rsidRPr="002A58D2" w:rsidRDefault="002A58D2" w:rsidP="002A58D2">
      <w:pPr>
        <w:pStyle w:val="ListParagraph"/>
        <w:numPr>
          <w:ilvl w:val="0"/>
          <w:numId w:val="2"/>
        </w:numPr>
      </w:pPr>
      <w:r>
        <w:rPr>
          <w:lang w:val="en-IN"/>
        </w:rPr>
        <w:t xml:space="preserve">A test case which should not </w:t>
      </w:r>
      <w:r w:rsidRPr="002A58D2">
        <w:rPr>
          <w:lang w:val="en-IN"/>
        </w:rPr>
        <w:t>update expired flag for trades not past their maturity date</w:t>
      </w:r>
      <w:r>
        <w:rPr>
          <w:lang w:val="en-IN"/>
        </w:rPr>
        <w:t>.</w:t>
      </w:r>
    </w:p>
    <w:p w14:paraId="5E68ADEC" w14:textId="580F5D6C" w:rsidR="002A58D2" w:rsidRPr="00F41C4A" w:rsidRDefault="002A58D2" w:rsidP="002A58D2">
      <w:pPr>
        <w:pStyle w:val="ListParagraph"/>
        <w:numPr>
          <w:ilvl w:val="0"/>
          <w:numId w:val="2"/>
        </w:numPr>
      </w:pPr>
      <w:r>
        <w:rPr>
          <w:lang w:val="en-IN"/>
        </w:rPr>
        <w:t xml:space="preserve">A test case for </w:t>
      </w:r>
      <w:r w:rsidR="00F41C4A">
        <w:rPr>
          <w:lang w:val="en-IN"/>
        </w:rPr>
        <w:t>Kafka Producer where a trade should be successfully sent to the Kafka.</w:t>
      </w:r>
    </w:p>
    <w:p w14:paraId="7AB2EF92" w14:textId="2C3C798E" w:rsidR="00F41C4A" w:rsidRDefault="00F41C4A" w:rsidP="002A58D2">
      <w:pPr>
        <w:pStyle w:val="ListParagraph"/>
        <w:numPr>
          <w:ilvl w:val="0"/>
          <w:numId w:val="2"/>
        </w:numPr>
      </w:pPr>
      <w:r>
        <w:t>A test case for Kafka Producer where a trade should be failed to send to the Kafka.</w:t>
      </w:r>
    </w:p>
    <w:p w14:paraId="26DE0435" w14:textId="17E7F162" w:rsidR="00F41C4A" w:rsidRDefault="00F41C4A" w:rsidP="002A58D2">
      <w:pPr>
        <w:pStyle w:val="ListParagraph"/>
        <w:numPr>
          <w:ilvl w:val="0"/>
          <w:numId w:val="2"/>
        </w:numPr>
      </w:pPr>
      <w:r>
        <w:t>A test case for Kafka</w:t>
      </w:r>
      <w:r>
        <w:t xml:space="preserve"> Consumer where a trade should be successfully processed.</w:t>
      </w:r>
    </w:p>
    <w:p w14:paraId="0BD3F4A0" w14:textId="0ECE6102" w:rsidR="00F41C4A" w:rsidRPr="00F41C4A" w:rsidRDefault="00F41C4A" w:rsidP="002A58D2">
      <w:pPr>
        <w:pStyle w:val="ListParagraph"/>
        <w:numPr>
          <w:ilvl w:val="0"/>
          <w:numId w:val="2"/>
        </w:numPr>
      </w:pPr>
      <w:r>
        <w:lastRenderedPageBreak/>
        <w:t xml:space="preserve">A test case for </w:t>
      </w:r>
      <w:r>
        <w:t>Kafka Consumer where a trade should</w:t>
      </w:r>
      <w:r>
        <w:t xml:space="preserve"> generate an exception for </w:t>
      </w:r>
      <w:r w:rsidRPr="002A58D2">
        <w:rPr>
          <w:lang w:val="en-IN"/>
        </w:rPr>
        <w:t>maturity date</w:t>
      </w:r>
      <w:r>
        <w:rPr>
          <w:lang w:val="en-IN"/>
        </w:rPr>
        <w:t xml:space="preserve"> check.</w:t>
      </w:r>
    </w:p>
    <w:p w14:paraId="1DE264DA" w14:textId="47AFC5FE" w:rsidR="00F41C4A" w:rsidRDefault="00F41C4A" w:rsidP="002A58D2">
      <w:pPr>
        <w:pStyle w:val="ListParagraph"/>
        <w:numPr>
          <w:ilvl w:val="0"/>
          <w:numId w:val="2"/>
        </w:numPr>
      </w:pPr>
      <w:r>
        <w:t>A test case for Rest Controller where a trade should be able to send successfully to Kafka Producer.</w:t>
      </w:r>
    </w:p>
    <w:p w14:paraId="6E514837" w14:textId="77777777" w:rsidR="00F41C4A" w:rsidRDefault="00F41C4A" w:rsidP="002A58D2">
      <w:pPr>
        <w:pStyle w:val="ListParagraph"/>
        <w:numPr>
          <w:ilvl w:val="0"/>
          <w:numId w:val="2"/>
        </w:numPr>
      </w:pPr>
      <w:r>
        <w:t xml:space="preserve">A test case for Rest Controller where a trade </w:t>
      </w:r>
      <w:r>
        <w:t>submission is failed because of invalid URI.</w:t>
      </w:r>
    </w:p>
    <w:p w14:paraId="1F361D14" w14:textId="77777777" w:rsidR="00F41C4A" w:rsidRDefault="00F41C4A" w:rsidP="002A58D2">
      <w:pPr>
        <w:pStyle w:val="ListParagraph"/>
        <w:numPr>
          <w:ilvl w:val="0"/>
          <w:numId w:val="2"/>
        </w:numPr>
      </w:pPr>
      <w:r>
        <w:t>A test case to test the schedular which will mark the Expired flag in case maturity date is passed.</w:t>
      </w:r>
    </w:p>
    <w:p w14:paraId="163FDC5F" w14:textId="3224713B" w:rsidR="00F41C4A" w:rsidRDefault="00F41C4A" w:rsidP="002A58D2">
      <w:pPr>
        <w:pStyle w:val="ListParagraph"/>
        <w:numPr>
          <w:ilvl w:val="0"/>
          <w:numId w:val="2"/>
        </w:numPr>
      </w:pPr>
      <w:r>
        <w:t xml:space="preserve">A test case for Kafka config just to test the kafka configuration. </w:t>
      </w:r>
    </w:p>
    <w:p w14:paraId="4AF59223" w14:textId="77777777" w:rsidR="002A58D2" w:rsidRDefault="002A58D2" w:rsidP="002A58D2"/>
    <w:sectPr w:rsidR="002A58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A50E4" w14:textId="77777777" w:rsidR="00197039" w:rsidRDefault="00197039" w:rsidP="00B207FB">
      <w:pPr>
        <w:spacing w:after="0" w:line="240" w:lineRule="auto"/>
      </w:pPr>
      <w:r>
        <w:separator/>
      </w:r>
    </w:p>
  </w:endnote>
  <w:endnote w:type="continuationSeparator" w:id="0">
    <w:p w14:paraId="14F87040" w14:textId="77777777" w:rsidR="00197039" w:rsidRDefault="00197039"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9497"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7FE4"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3CED"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2AE3A" w14:textId="77777777" w:rsidR="00197039" w:rsidRDefault="00197039" w:rsidP="00B207FB">
      <w:pPr>
        <w:spacing w:after="0" w:line="240" w:lineRule="auto"/>
      </w:pPr>
      <w:r>
        <w:separator/>
      </w:r>
    </w:p>
  </w:footnote>
  <w:footnote w:type="continuationSeparator" w:id="0">
    <w:p w14:paraId="3E4F1CCB" w14:textId="77777777" w:rsidR="00197039" w:rsidRDefault="00197039" w:rsidP="00B2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04B16" w14:textId="77777777" w:rsidR="00B207FB" w:rsidRDefault="00B2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7FEC" w14:textId="77777777" w:rsidR="00B207FB" w:rsidRDefault="00B2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B023F" w14:textId="77777777" w:rsidR="00B207FB" w:rsidRDefault="00B2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A43"/>
    <w:multiLevelType w:val="hybridMultilevel"/>
    <w:tmpl w:val="27322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90863">
    <w:abstractNumId w:val="1"/>
  </w:num>
  <w:num w:numId="2" w16cid:durableId="55424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7FB"/>
    <w:rsid w:val="00045556"/>
    <w:rsid w:val="000E27FB"/>
    <w:rsid w:val="0016090D"/>
    <w:rsid w:val="00197039"/>
    <w:rsid w:val="00290280"/>
    <w:rsid w:val="002A58D2"/>
    <w:rsid w:val="002B5FDA"/>
    <w:rsid w:val="002E522F"/>
    <w:rsid w:val="00365014"/>
    <w:rsid w:val="00393D32"/>
    <w:rsid w:val="00695123"/>
    <w:rsid w:val="007A3B9B"/>
    <w:rsid w:val="00815541"/>
    <w:rsid w:val="00835A2E"/>
    <w:rsid w:val="008A1A86"/>
    <w:rsid w:val="00A32FE3"/>
    <w:rsid w:val="00AB3F51"/>
    <w:rsid w:val="00B207FB"/>
    <w:rsid w:val="00B22E15"/>
    <w:rsid w:val="00B8335A"/>
    <w:rsid w:val="00C003C7"/>
    <w:rsid w:val="00C74253"/>
    <w:rsid w:val="00CA5AD9"/>
    <w:rsid w:val="00DA46FA"/>
    <w:rsid w:val="00DB6DAA"/>
    <w:rsid w:val="00E210F2"/>
    <w:rsid w:val="00F4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5E191"/>
  <w15:docId w15:val="{B8DDF0A1-808D-4BDF-86C4-62488975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Shashank Singh</cp:lastModifiedBy>
  <cp:revision>15</cp:revision>
  <dcterms:created xsi:type="dcterms:W3CDTF">2015-05-11T04:10:00Z</dcterms:created>
  <dcterms:modified xsi:type="dcterms:W3CDTF">2025-06-24T13:32:00Z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1b7f8449-e5d3-4eba-8da7-ffd6ca5bf3e9_Enabled">
    <vt:lpwstr>true</vt:lpwstr>
  </property>
  <property fmtid="{D5CDD505-2E9C-101B-9397-08002B2CF9AE}" pid="5" name="MSIP_Label_1b7f8449-e5d3-4eba-8da7-ffd6ca5bf3e9_SetDate">
    <vt:lpwstr>2024-04-25T15:54:52Z</vt:lpwstr>
  </property>
  <property fmtid="{D5CDD505-2E9C-101B-9397-08002B2CF9AE}" pid="6" name="MSIP_Label_1b7f8449-e5d3-4eba-8da7-ffd6ca5bf3e9_Method">
    <vt:lpwstr>Privileged</vt:lpwstr>
  </property>
  <property fmtid="{D5CDD505-2E9C-101B-9397-08002B2CF9AE}" pid="7" name="MSIP_Label_1b7f8449-e5d3-4eba-8da7-ffd6ca5bf3e9_Name">
    <vt:lpwstr>1b7f8449-e5d3-4eba-8da7-ffd6ca5bf3e9</vt:lpwstr>
  </property>
  <property fmtid="{D5CDD505-2E9C-101B-9397-08002B2CF9AE}" pid="8" name="MSIP_Label_1b7f8449-e5d3-4eba-8da7-ffd6ca5bf3e9_SiteId">
    <vt:lpwstr>1e9b61e8-e590-4abc-b1af-24125e330d2a</vt:lpwstr>
  </property>
  <property fmtid="{D5CDD505-2E9C-101B-9397-08002B2CF9AE}" pid="9" name="MSIP_Label_1b7f8449-e5d3-4eba-8da7-ffd6ca5bf3e9_ActionId">
    <vt:lpwstr>91acc59c-6fad-46ce-8986-6bff2c90cffb</vt:lpwstr>
  </property>
  <property fmtid="{D5CDD505-2E9C-101B-9397-08002B2CF9AE}" pid="10" name="MSIP_Label_1b7f8449-e5d3-4eba-8da7-ffd6ca5bf3e9_ContentBits">
    <vt:lpwstr>0</vt:lpwstr>
  </property>
  <property fmtid="{D5CDD505-2E9C-101B-9397-08002B2CF9AE}" pid="11" name="db.comClassification">
    <vt:lpwstr>External Communication</vt:lpwstr>
  </property>
</Properties>
</file>