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Specification Document</w:t>
      </w:r>
    </w:p>
    <w:p>
      <w:r>
        <w:t>Project Configuration DNA: {{ config_id }}</w:t>
      </w:r>
    </w:p>
    <w:p>
      <w:pPr>
        <w:pStyle w:val="Heading1"/>
      </w:pPr>
      <w:r>
        <w:t>1. Overview</w:t>
      </w:r>
    </w:p>
    <w:p>
      <w:r>
        <w:t>This document outlines the standard engineering parameters for a {{ load_count }}-pump Water Booster set, rated at {{ motor_power_kw }} kW per motor.</w:t>
      </w:r>
    </w:p>
    <w:p>
      <w:pPr>
        <w:pStyle w:val="Heading1"/>
      </w:pPr>
      <w:r>
        <w:t>2. Control Panel &amp; Enclosure</w:t>
      </w:r>
    </w:p>
    <w:p>
      <w:r>
        <w:t>The control panel shall be housed in an enclosure dimensioned at {{ enclosure_dims }} with a mounting type of {{ enclosure_mounting }}. Default cabinet rating is IP54.</w:t>
      </w:r>
    </w:p>
    <w:p>
      <w:pPr>
        <w:pStyle w:val="Heading1"/>
      </w:pPr>
      <w:r>
        <w:t>3. Key Components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{% tr for comp in components %}{{ comp.item_category }}</w:t>
            </w:r>
          </w:p>
        </w:tc>
        <w:tc>
          <w:tcPr>
            <w:tcW w:type="dxa" w:w="2880"/>
          </w:tcPr>
          <w:p>
            <w:r>
              <w:t>{{ comp.part_number }}</w:t>
            </w:r>
          </w:p>
        </w:tc>
        <w:tc>
          <w:tcPr>
            <w:tcW w:type="dxa" w:w="2880"/>
          </w:tcPr>
          <w:p>
            <w:r>
              <w:t>{{ comp.qty }}{%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