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Application Specification Appendix</w:t>
        <w:br/>
        <w:t>Water Booster Set - 3 Pumps (N+1)</w:t>
      </w:r>
    </w:p>
    <w:p>
      <w:pPr>
        <w:jc w:val="center"/>
      </w:pPr>
      <w:r>
        <w:rPr>
          <w:sz w:val="24"/>
        </w:rPr>
        <w:t>VSD Control Panel - 3 x 30 kW | IP54 Floor Standing | Cascade PID | Modbus TCP | IEC 62443 Baseline</w:t>
      </w:r>
    </w:p>
    <w:p/>
    <w:p>
      <w:pPr>
        <w:jc w:val="center"/>
      </w:pPr>
      <w:r>
        <w:rPr>
          <w:i/>
        </w:rPr>
        <w:t>Version: v1.0  |  Date: 2026-02-27</w:t>
      </w:r>
    </w:p>
    <w:p>
      <w:r>
        <w:br w:type="page"/>
      </w:r>
    </w:p>
    <w:p>
      <w:pPr>
        <w:pStyle w:val="Heading1"/>
      </w:pPr>
      <w:r>
        <w:t>1. Purpose and How to Use</w:t>
      </w:r>
    </w:p>
    <w:p>
      <w:r>
        <w:t>This document is a copy/paste-ready specification appendix intended for Design Firms to include in Concept/FEED and Basic Design packages. It defines a repeatable solution approach for a water booster application and enables early-stage prescription of the complete motor control solution (enclosures, protection, variable speed drives, control, communications, and testing).</w:t>
      </w:r>
    </w:p>
    <w:p>
      <w:r>
        <w:t>This appendix is technology- and outcome-oriented, but references Schneider Electric solution families where applicable. Final product references (exact part numbers) shall be confirmed during detailed design by the System Integrator / Panel Builder according to local catalog, short-circuit levels, environmental conditions, and end-user standards.</w:t>
      </w:r>
    </w:p>
    <w:p>
      <w:pPr>
        <w:pStyle w:val="Heading1"/>
      </w:pPr>
      <w:r>
        <w:t>2. Application Data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1F2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4986"/>
          </w:tcPr>
          <w:p>
            <w:r>
              <w:t>Water Booster Set - 3 Pumps</w:t>
            </w:r>
          </w:p>
        </w:tc>
      </w:tr>
      <w:tr>
        <w:tc>
          <w:tcPr>
            <w:tcW w:type="dxa" w:w="4986"/>
            <w:shd w:fill="D9E1F2"/>
          </w:tcPr>
          <w:p>
            <w:r>
              <w:rPr>
                <w:b/>
              </w:rPr>
              <w:t>Process objective</w:t>
            </w:r>
          </w:p>
        </w:tc>
        <w:tc>
          <w:tcPr>
            <w:tcW w:type="dxa" w:w="4986"/>
          </w:tcPr>
          <w:p>
            <w:r>
              <w:t>Maintain discharge pressure at setpoint across variable demand</w:t>
            </w:r>
          </w:p>
        </w:tc>
      </w:tr>
      <w:tr>
        <w:tc>
          <w:tcPr>
            <w:tcW w:type="dxa" w:w="4986"/>
            <w:shd w:fill="D9E1F2"/>
          </w:tcPr>
          <w:p>
            <w:r>
              <w:rPr>
                <w:b/>
              </w:rPr>
              <w:t>Motor configuration</w:t>
            </w:r>
          </w:p>
        </w:tc>
        <w:tc>
          <w:tcPr>
            <w:tcW w:type="dxa" w:w="4986"/>
          </w:tcPr>
          <w:p>
            <w:r>
              <w:t>3 pumps x 30 kW each; redundancy N+1 (one pump available as standby)</w:t>
            </w:r>
          </w:p>
        </w:tc>
      </w:tr>
      <w:tr>
        <w:tc>
          <w:tcPr>
            <w:tcW w:type="dxa" w:w="4986"/>
            <w:shd w:fill="D9E1F2"/>
          </w:tcPr>
          <w:p>
            <w:r>
              <w:rPr>
                <w:b/>
              </w:rPr>
              <w:t>Starter type</w:t>
            </w:r>
          </w:p>
        </w:tc>
        <w:tc>
          <w:tcPr>
            <w:tcW w:type="dxa" w:w="4986"/>
          </w:tcPr>
          <w:p>
            <w:r>
              <w:t>Variable Speed Drive (VSD) for each pump</w:t>
            </w:r>
          </w:p>
        </w:tc>
      </w:tr>
      <w:tr>
        <w:tc>
          <w:tcPr>
            <w:tcW w:type="dxa" w:w="4986"/>
            <w:shd w:fill="D9E1F2"/>
          </w:tcPr>
          <w:p>
            <w:r>
              <w:rPr>
                <w:b/>
              </w:rPr>
              <w:t>Control mode</w:t>
            </w:r>
          </w:p>
        </w:tc>
        <w:tc>
          <w:tcPr>
            <w:tcW w:type="dxa" w:w="4986"/>
          </w:tcPr>
          <w:p>
            <w:r>
              <w:t>Cascade PID with staging/de-staging and automatic alternation</w:t>
            </w:r>
          </w:p>
        </w:tc>
      </w:tr>
      <w:tr>
        <w:tc>
          <w:tcPr>
            <w:tcW w:type="dxa" w:w="4986"/>
            <w:shd w:fill="D9E1F2"/>
          </w:tcPr>
          <w:p>
            <w:r>
              <w:rPr>
                <w:b/>
              </w:rPr>
              <w:t>Enclosure</w:t>
            </w:r>
          </w:p>
        </w:tc>
        <w:tc>
          <w:tcPr>
            <w:tcW w:type="dxa" w:w="4986"/>
          </w:tcPr>
          <w:p>
            <w:r>
              <w:t>IP54 floor standing control panel (universal enclosure)</w:t>
            </w:r>
          </w:p>
        </w:tc>
      </w:tr>
      <w:tr>
        <w:tc>
          <w:tcPr>
            <w:tcW w:type="dxa" w:w="4986"/>
            <w:shd w:fill="D9E1F2"/>
          </w:tcPr>
          <w:p>
            <w:r>
              <w:rPr>
                <w:b/>
              </w:rPr>
              <w:t>Communications</w:t>
            </w:r>
          </w:p>
        </w:tc>
        <w:tc>
          <w:tcPr>
            <w:tcW w:type="dxa" w:w="4986"/>
          </w:tcPr>
          <w:p>
            <w:r>
              <w:t>Modbus TCP (Ethernet) between PLC and drives; optional uplink to SCADA</w:t>
            </w:r>
          </w:p>
        </w:tc>
      </w:tr>
      <w:tr>
        <w:tc>
          <w:tcPr>
            <w:tcW w:type="dxa" w:w="4986"/>
            <w:shd w:fill="D9E1F2"/>
          </w:tcPr>
          <w:p>
            <w:r>
              <w:rPr>
                <w:b/>
              </w:rPr>
              <w:t>Cybersecurity</w:t>
            </w:r>
          </w:p>
        </w:tc>
        <w:tc>
          <w:tcPr>
            <w:tcW w:type="dxa" w:w="4986"/>
          </w:tcPr>
          <w:p>
            <w:r>
              <w:t>Baseline requirements aligned with IEC 62443 principles (zones, accounts, logging)</w:t>
            </w:r>
          </w:p>
        </w:tc>
      </w:tr>
    </w:tbl>
    <w:p/>
    <w:p>
      <w:pPr>
        <w:pStyle w:val="Heading1"/>
      </w:pPr>
      <w:r>
        <w:t>3. Reference Architecture</w:t>
      </w:r>
    </w:p>
    <w:p>
      <w:r>
        <w:t>The reference architecture below provides a typical power and control arrangement for a 3-pump booster set with VSD control. It is intended as an early-stage template. The detailed GA, heat dissipation, cable entry, and assembly details shall be provided by the selected panel builder.</w:t>
      </w:r>
    </w:p>
    <w:p>
      <w:r>
        <w:drawing>
          <wp:inline xmlns:a="http://schemas.openxmlformats.org/drawingml/2006/main" xmlns:pic="http://schemas.openxmlformats.org/drawingml/2006/picture">
            <wp:extent cx="6217920" cy="3084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ferenc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1 - Reference architecture (power + controls + Modbus TCP).</w:t>
      </w:r>
    </w:p>
    <w:p/>
    <w:p>
      <w:r>
        <w:drawing>
          <wp:inline xmlns:a="http://schemas.openxmlformats.org/drawingml/2006/main" xmlns:pic="http://schemas.openxmlformats.org/drawingml/2006/picture">
            <wp:extent cx="6217920" cy="203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ngle_Lin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3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2 - Typical single line diagram (concept).</w:t>
      </w:r>
    </w:p>
    <w:p>
      <w:pPr>
        <w:pStyle w:val="Heading1"/>
      </w:pPr>
      <w:r>
        <w:t>4. Panel Scope and Deliverables</w:t>
      </w:r>
    </w:p>
    <w:p>
      <w:r>
        <w:t>The booster control panel assembly shall include, as a minimum:</w:t>
      </w:r>
    </w:p>
    <w:p>
      <w:pPr>
        <w:pStyle w:val="ListBullet"/>
      </w:pPr>
      <w:r>
        <w:t>Main incoming isolator and/or MCCB sized for the panel maximum demand and fault level.</w:t>
      </w:r>
    </w:p>
    <w:p>
      <w:pPr>
        <w:pStyle w:val="ListBullet"/>
      </w:pPr>
      <w:r>
        <w:t>Three (3) VSD feeders sized for 30 kW motors, including appropriate upstream protection and isolation as per applicable standards.</w:t>
      </w:r>
    </w:p>
    <w:p>
      <w:pPr>
        <w:pStyle w:val="ListBullet"/>
      </w:pPr>
      <w:r>
        <w:t>PLC with sufficient Ethernet capability and I/O for pressure feedback, permissives, local controls, and alarms.</w:t>
      </w:r>
    </w:p>
    <w:p>
      <w:pPr>
        <w:pStyle w:val="ListBullet"/>
      </w:pPr>
      <w:r>
        <w:t>Local operator interface (HMI) and basic local controls (e.g., Auto/Off/Hand selector, Reset, Emergency stop where required).</w:t>
      </w:r>
    </w:p>
    <w:p>
      <w:pPr>
        <w:pStyle w:val="ListBullet"/>
      </w:pPr>
      <w:r>
        <w:t>Industrial Ethernet switch for Modbus TCP network connectivity (drives + PLC + HMI).</w:t>
      </w:r>
    </w:p>
    <w:p>
      <w:pPr>
        <w:pStyle w:val="ListBullet"/>
      </w:pPr>
      <w:r>
        <w:t>Panel auxiliaries: 24 VDC power supply, control protection, terminal blocks, labeling, earthing, and service accessories (lighting/heater as required).</w:t>
      </w:r>
    </w:p>
    <w:p>
      <w:pPr>
        <w:pStyle w:val="ListBullet"/>
      </w:pPr>
      <w:r>
        <w:t>Documentation set: electrical drawings, I/O list, network IP plan, PLC/HMI backups, FAT/SAT records.</w:t>
      </w:r>
    </w:p>
    <w:p>
      <w:pPr>
        <w:pStyle w:val="Heading1"/>
      </w:pPr>
      <w:r>
        <w:t>5. Electrical Requirements (Copy/Paste Spec Clauses)</w:t>
      </w:r>
    </w:p>
    <w:p>
      <w:r>
        <w:t>5.1 Enclosure and Assembly</w:t>
      </w:r>
    </w:p>
    <w:p>
      <w:pPr>
        <w:pStyle w:val="ListBullet"/>
      </w:pPr>
      <w:r>
        <w:t>The control panel enclosure shall be floor standing with minimum ingress protection rating IP54 and suitable for indoor technical room installation unless stated otherwise.</w:t>
      </w:r>
    </w:p>
    <w:p>
      <w:pPr>
        <w:pStyle w:val="ListBullet"/>
      </w:pPr>
      <w:r>
        <w:t>The enclosure shall include a gland plate (or equivalent) for bottom cable entry, earthing bar, and provision for safe maintenance access.</w:t>
      </w:r>
    </w:p>
    <w:p>
      <w:pPr>
        <w:pStyle w:val="ListBullet"/>
      </w:pPr>
      <w:r>
        <w:t>The panel builder shall provide thermal management (fan/filter or air conditioning as required) to maintain component temperatures within manufacturer limits at site ambient conditions.</w:t>
      </w:r>
    </w:p>
    <w:p>
      <w:pPr>
        <w:pStyle w:val="ListBullet"/>
      </w:pPr>
      <w:r>
        <w:t>All components shall be clearly labeled; wiring shall be ferruled and identified in accordance with the drawings.</w:t>
      </w:r>
    </w:p>
    <w:p>
      <w:pPr>
        <w:pStyle w:val="ListBullet"/>
      </w:pPr>
      <w:r>
        <w:t>The assembly shall be designed, manufactured, and tested in accordance with applicable IEC requirements for low-voltage switchgear and controlgear assemblies (e.g., IEC 61439 where applicable).</w:t>
      </w:r>
    </w:p>
    <w:p>
      <w:r>
        <w:t>5.2 VSD Feeders</w:t>
      </w:r>
    </w:p>
    <w:p>
      <w:pPr>
        <w:pStyle w:val="ListBullet"/>
      </w:pPr>
      <w:r>
        <w:t>Each pump motor shall be controlled by an individual VSD suitable for 30 kW motor duty and the supply network characteristics (voltage, frequency, short-circuit level).</w:t>
      </w:r>
    </w:p>
    <w:p>
      <w:pPr>
        <w:pStyle w:val="ListBullet"/>
      </w:pPr>
      <w:r>
        <w:t>The VSD shall support network control and monitoring via Modbus TCP and shall expose key operating data (run status, speed reference, current, power, energy, and fault codes).</w:t>
      </w:r>
    </w:p>
    <w:p>
      <w:pPr>
        <w:pStyle w:val="ListBullet"/>
      </w:pPr>
      <w:r>
        <w:t>The design shall include appropriate upstream protection and isolation for each VSD feeder; additional line/reactor or harmonic mitigation devices shall be included where required by grid code, EMC, or harmonic limits.</w:t>
      </w:r>
    </w:p>
    <w:p>
      <w:pPr>
        <w:pStyle w:val="ListBullet"/>
      </w:pPr>
      <w:r>
        <w:t>Motor cable length limits and output filtering (e.g., dv/dt filter) shall be addressed during detailed design based on site layout.</w:t>
      </w:r>
    </w:p>
    <w:p>
      <w:r>
        <w:t>5.3 Control Power and Auxiliaries</w:t>
      </w:r>
    </w:p>
    <w:p>
      <w:pPr>
        <w:pStyle w:val="ListBullet"/>
      </w:pPr>
      <w:r>
        <w:t>The panel shall include a 24 VDC control power supply sized for PLC, HMI, network devices, and field instrumentation loops as required.</w:t>
      </w:r>
    </w:p>
    <w:p>
      <w:pPr>
        <w:pStyle w:val="ListBullet"/>
      </w:pPr>
      <w:r>
        <w:t>An emergency stop function (if specified by the end user) shall remove run permission from all drives and place the system into a safe state.</w:t>
      </w:r>
    </w:p>
    <w:p>
      <w:pPr>
        <w:pStyle w:val="ListBullet"/>
      </w:pPr>
      <w:r>
        <w:t>Door interlock and maintenance mode provisions shall be implemented as required by local regulations and end user standards.</w:t>
      </w:r>
    </w:p>
    <w:p>
      <w:pPr>
        <w:pStyle w:val="Heading1"/>
      </w:pPr>
      <w:r>
        <w:t>6. Control Philosophy - Cascade PID (Booster Set)</w:t>
      </w:r>
    </w:p>
    <w:p>
      <w:r>
        <w:t>The booster set shall maintain discharge pressure at a configurable setpoint using cascade PID control and automatic staging of pumps. The PLC shall coordinate drive start/stop and speed references over Modbus TCP.</w:t>
      </w:r>
    </w:p>
    <w:p>
      <w:r>
        <w:t>Minimum functional requirements:</w:t>
      </w:r>
    </w:p>
    <w:p>
      <w:pPr>
        <w:pStyle w:val="ListBullet"/>
      </w:pPr>
      <w:r>
        <w:t>PID pressure control using a primary discharge pressure transmitter; automatic fallback to redundant transmitter upon fault/out-of-range.</w:t>
      </w:r>
    </w:p>
    <w:p>
      <w:pPr>
        <w:pStyle w:val="ListBullet"/>
      </w:pPr>
      <w:r>
        <w:t>Pump staging: start Lead pump on demand; add Lag pumps when pressure cannot be maintained (e.g., Lead speed above high threshold for a time delay).</w:t>
      </w:r>
    </w:p>
    <w:p>
      <w:pPr>
        <w:pStyle w:val="ListBullet"/>
      </w:pPr>
      <w:r>
        <w:t>Pump de-staging: stop Lag pumps when demand decreases (e.g., average speed below low threshold for a time delay) while maintaining stable pressure control.</w:t>
      </w:r>
    </w:p>
    <w:p>
      <w:pPr>
        <w:pStyle w:val="ListBullet"/>
      </w:pPr>
      <w:r>
        <w:t>Automatic alternation of Lead/Lag duty to equalize runtime and support N+1 redundancy (one pump available as standby).</w:t>
      </w:r>
    </w:p>
    <w:p>
      <w:pPr>
        <w:pStyle w:val="ListBullet"/>
      </w:pPr>
      <w:r>
        <w:t>Anti-short-cycle logic: minimum run time and minimum stop time per pump.</w:t>
      </w:r>
    </w:p>
    <w:p>
      <w:pPr>
        <w:pStyle w:val="ListBullet"/>
      </w:pPr>
      <w:r>
        <w:t>Sleep mode (optional): if no demand (stable pressure at low speed limit) the system may stop all pumps and restart on pressure drop.</w:t>
      </w:r>
    </w:p>
    <w:p>
      <w:pPr>
        <w:pStyle w:val="ListBullet"/>
      </w:pPr>
      <w:r>
        <w:t>Permissives and interlocks: suction pressure permissive (if provided), valve position permissives (if provided), local emergency stop, drive healthy status.</w:t>
      </w:r>
    </w:p>
    <w:p>
      <w:pPr>
        <w:pStyle w:val="ListBullet"/>
      </w:pPr>
      <w:r>
        <w:t>Failover: if any pump/drive becomes unavailable, remaining pumps shall continue to control pressure subject to capacity.</w:t>
      </w:r>
    </w:p>
    <w:p>
      <w:pPr>
        <w:pStyle w:val="Heading1"/>
      </w:pPr>
      <w:r>
        <w:t>7. Communications - Modbus TCP</w:t>
      </w:r>
    </w:p>
    <w:p>
      <w:r>
        <w:t>The PLC shall act as Modbus TCP client/master. Each VSD shall be a Modbus TCP server. The network shall be designed for deterministic control, with segregation from corporate networks.</w:t>
      </w:r>
    </w:p>
    <w:p>
      <w:pPr>
        <w:pStyle w:val="ListBullet"/>
      </w:pPr>
      <w:r>
        <w:t>Each drive shall have a unique IP address; an IP plan shall be delivered as part of the documentation set.</w:t>
      </w:r>
    </w:p>
    <w:p>
      <w:pPr>
        <w:pStyle w:val="ListBullet"/>
      </w:pPr>
      <w:r>
        <w:t>Minimum data exchanged per drive: start/stop, speed reference, control mode, run feedback, speed feedback, current, power, energy, fault status, and fault code.</w:t>
      </w:r>
    </w:p>
    <w:p>
      <w:pPr>
        <w:pStyle w:val="ListBullet"/>
      </w:pPr>
      <w:r>
        <w:t>Loss of communications shall generate an alarm and drive/run commands shall fail to a defined safe state (configurable).</w:t>
      </w:r>
    </w:p>
    <w:p>
      <w:pPr>
        <w:pStyle w:val="Heading1"/>
      </w:pPr>
      <w:r>
        <w:t>8. Cybersecurity Baseline (IEC 62443-aligned)</w:t>
      </w:r>
    </w:p>
    <w:p>
      <w:r>
        <w:t>This project shall implement baseline cybersecurity controls consistent with IEC 62443 principles. These requirements are written to be achievable for typical water booster deployments while improving security by design.</w:t>
      </w:r>
    </w:p>
    <w:p>
      <w:pPr>
        <w:pStyle w:val="ListBullet"/>
      </w:pPr>
      <w:r>
        <w:t>Define zones and conduits: (1) Booster Control Panel zone (PLC, drives, HMI, switch); (2) Site Operations zone (SCADA/operations); (3) Corporate zone.</w:t>
      </w:r>
    </w:p>
    <w:p>
      <w:pPr>
        <w:pStyle w:val="ListBullet"/>
      </w:pPr>
      <w:r>
        <w:t>Unique user accounts on PLC/HMI where supported; role-based access; default passwords shall be changed at commissioning.</w:t>
      </w:r>
    </w:p>
    <w:p>
      <w:pPr>
        <w:pStyle w:val="ListBullet"/>
      </w:pPr>
      <w:r>
        <w:t>Network segmentation: booster control network shall be separated from corporate networks (VLAN/firewall/industrial DMZ where applicable).</w:t>
      </w:r>
    </w:p>
    <w:p>
      <w:pPr>
        <w:pStyle w:val="ListBullet"/>
      </w:pPr>
      <w:r>
        <w:t>Disable unused services and ports; maintain an inventory of firmware/software versions.</w:t>
      </w:r>
    </w:p>
    <w:p>
      <w:pPr>
        <w:pStyle w:val="ListBullet"/>
      </w:pPr>
      <w:r>
        <w:t>Event logging: security-relevant events (login attempts, configuration changes, comms loss) shall be logged and available for export.</w:t>
      </w:r>
    </w:p>
    <w:p>
      <w:pPr>
        <w:pStyle w:val="ListBullet"/>
      </w:pPr>
      <w:r>
        <w:t>Remote access (if required) shall use secure methods with MFA and audit trail; no direct inbound access to control network from the internet.</w:t>
      </w:r>
    </w:p>
    <w:p>
      <w:pPr>
        <w:pStyle w:val="Heading1"/>
      </w:pPr>
      <w:r>
        <w:t>9. FAT/SAT - Minimum Acceptance Tests</w:t>
      </w:r>
    </w:p>
    <w:p>
      <w:r>
        <w:t>Factory Acceptance Test (FAT) - minimum scope:</w:t>
      </w:r>
    </w:p>
    <w:p>
      <w:pPr>
        <w:pStyle w:val="ListBullet"/>
      </w:pPr>
      <w:r>
        <w:t>Visual inspection: wiring, labeling, earthing, component installation, enclosure integrity.</w:t>
      </w:r>
    </w:p>
    <w:p>
      <w:pPr>
        <w:pStyle w:val="ListBullet"/>
      </w:pPr>
      <w:r>
        <w:t>Electrical tests: continuity, insulation, protective earth verification (per applicable standards).</w:t>
      </w:r>
    </w:p>
    <w:p>
      <w:pPr>
        <w:pStyle w:val="ListBullet"/>
      </w:pPr>
      <w:r>
        <w:t>Network tests: verify Modbus TCP communications to each VSD; validate data exchange list.</w:t>
      </w:r>
    </w:p>
    <w:p>
      <w:pPr>
        <w:pStyle w:val="ListBullet"/>
      </w:pPr>
      <w:r>
        <w:t>Functional tests (simulation where necessary): pump staging/de-staging, alternation, permissives, alarms, fallback to redundant pressure transmitter.</w:t>
      </w:r>
    </w:p>
    <w:p>
      <w:pPr>
        <w:pStyle w:val="ListBullet"/>
      </w:pPr>
      <w:r>
        <w:t>HMI tests: start/stop, setpoint entry, alarm acknowledgement, runtime counters, status screens.</w:t>
      </w:r>
    </w:p>
    <w:p>
      <w:r>
        <w:t>Site Acceptance Test (SAT) - minimum scope:</w:t>
      </w:r>
    </w:p>
    <w:p>
      <w:pPr>
        <w:pStyle w:val="ListBullet"/>
      </w:pPr>
      <w:r>
        <w:t>Verify field wiring termination and correct motor rotation.</w:t>
      </w:r>
    </w:p>
    <w:p>
      <w:pPr>
        <w:pStyle w:val="ListBullet"/>
      </w:pPr>
      <w:r>
        <w:t>Verify pressure transmitter calibration and signal scaling.</w:t>
      </w:r>
    </w:p>
    <w:p>
      <w:pPr>
        <w:pStyle w:val="ListBullet"/>
      </w:pPr>
      <w:r>
        <w:t>Prove PID stability and staging thresholds under representative demand conditions.</w:t>
      </w:r>
    </w:p>
    <w:p>
      <w:pPr>
        <w:pStyle w:val="ListBullet"/>
      </w:pPr>
      <w:r>
        <w:t>Prove redundancy behavior (simulate one pump/drive unavailable).</w:t>
      </w:r>
    </w:p>
    <w:p>
      <w:pPr>
        <w:pStyle w:val="ListBullet"/>
      </w:pPr>
      <w:r>
        <w:t>Confirm alarm annunciation to local HMI and (if applicable) SCADA.</w:t>
      </w:r>
    </w:p>
    <w:p>
      <w:pPr>
        <w:pStyle w:val="Heading1"/>
      </w:pPr>
      <w:r>
        <w:t>Appendix A - Asset Pack Contents</w:t>
      </w:r>
    </w:p>
    <w:p>
      <w:r>
        <w:t>This appendix is intended to be used with the following asset files:</w:t>
      </w:r>
    </w:p>
    <w:p>
      <w:pPr>
        <w:pStyle w:val="ListBullet"/>
      </w:pPr>
      <w:r>
        <w:t>SpecTextBlocks.txt - copy/paste clauses for tenders</w:t>
      </w:r>
    </w:p>
    <w:p>
      <w:pPr>
        <w:pStyle w:val="ListBullet"/>
      </w:pPr>
      <w:r>
        <w:t>ApplicationPack.xlsx - I/O list, alarm list, BOM template, network IP plan</w:t>
      </w:r>
    </w:p>
    <w:p>
      <w:pPr>
        <w:pStyle w:val="ListBullet"/>
      </w:pPr>
      <w:r>
        <w:t>01_Reference_Architecture.pdf/.png - reference architecture figure</w:t>
      </w:r>
    </w:p>
    <w:p>
      <w:pPr>
        <w:pStyle w:val="ListBullet"/>
      </w:pPr>
      <w:r>
        <w:t>02_Single_Line_Diagram.pdf/.png - single line figure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