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F3864"/>
          <w:sz w:val="40"/>
          <w:szCs w:val="40"/>
        </w:rPr>
        <w:t xml:space="preserve">CREDIT APPRAISAL MEMORANDUM</w:t>
      </w:r>
    </w:p>
    <w:p>
      <w:pPr>
        <w:spacing w:after="480" w:before="120"/>
        <w:jc w:val="center"/>
      </w:pPr>
      <w:r>
        <w:rPr>
          <w:rFonts w:ascii="Arial" w:cs="Arial" w:eastAsia="Arial" w:hAnsi="Arial"/>
          <w:b/>
          <w:bCs/>
          <w:color w:val="2E75B6"/>
          <w:sz w:val="24"/>
          <w:szCs w:val="24"/>
        </w:rPr>
        <w:t xml:space="preserve">Evam Finance Private Limited</w:t>
      </w:r>
    </w:p>
    <w:p>
      <w:pPr>
        <w:spacing w:after="80" w:before="0"/>
        <w:jc w:val="center"/>
      </w:pPr>
      <w:r>
        <w:rPr>
          <w:rFonts w:ascii="Arial" w:cs="Arial" w:eastAsia="Arial" w:hAnsi="Arial"/>
          <w:b/>
          <w:bCs/>
          <w:color w:val="1F3864"/>
          <w:sz w:val="32"/>
          <w:szCs w:val="32"/>
        </w:rPr>
        <w:t xml:space="preserve">PINNACLE LITHIUM POWER</w:t>
      </w:r>
    </w:p>
    <w:p>
      <w:pPr>
        <w:spacing w:after="360" w:before="0"/>
        <w:jc w:val="center"/>
      </w:pPr>
      <w:r>
        <w:rPr>
          <w:rFonts w:ascii="Arial" w:cs="Arial" w:eastAsia="Arial" w:hAnsi="Arial"/>
          <w:b w:val="false"/>
          <w:bCs w:val="false"/>
          <w:color w:val="000000"/>
          <w:sz w:val="18"/>
          <w:szCs w:val="18"/>
        </w:rPr>
        <w:t xml:space="preserve">Registered Partnership Firm  |  Coimbatore, Tamil Nadu  |  Brand: Pulze Batteries</w:t>
      </w:r>
    </w:p>
    <w:p>
      <w:pPr>
        <w:spacing w:after="60" w:before="0"/>
        <w:jc w:val="center"/>
      </w:pPr>
      <w:r>
        <w:rPr>
          <w:rFonts w:ascii="Arial" w:cs="Arial" w:eastAsia="Arial" w:hAnsi="Arial"/>
          <w:b/>
          <w:bCs/>
          <w:color w:val="000000"/>
          <w:sz w:val="22"/>
          <w:szCs w:val="22"/>
        </w:rPr>
        <w:t xml:space="preserve">Proposed Facility: Working Capital Loan (Revolving) of Rs. 100 lakh</w:t>
      </w:r>
    </w:p>
    <w:p>
      <w:pPr>
        <w:spacing w:after="480" w:before="0"/>
        <w:jc w:val="center"/>
      </w:pPr>
      <w:r>
        <w:rPr>
          <w:rFonts w:ascii="Arial" w:cs="Arial" w:eastAsia="Arial" w:hAnsi="Arial"/>
          <w:b w:val="false"/>
          <w:bCs w:val="false"/>
          <w:color w:val="000000"/>
          <w:sz w:val="18"/>
          <w:szCs w:val="18"/>
        </w:rPr>
        <w:t xml:space="preserve">Fixed rate 15.00% p.a.  |  Drawdown tenor 30–120 days  |  Availability 12 months</w:t>
      </w:r>
    </w:p>
    <w:p>
      <w:pPr>
        <w:spacing w:after="60" w:before="0"/>
        <w:jc w:val="center"/>
      </w:pPr>
      <w:r>
        <w:rPr>
          <w:rFonts w:ascii="Arial" w:cs="Arial" w:eastAsia="Arial" w:hAnsi="Arial"/>
          <w:b w:val="false"/>
          <w:bCs w:val="false"/>
          <w:color w:val="000000"/>
          <w:sz w:val="18"/>
          <w:szCs w:val="18"/>
        </w:rPr>
        <w:t xml:space="preserve">Document date: 29-Jul-2026</w:t>
      </w:r>
    </w:p>
    <w:p>
      <w:pPr>
        <w:spacing w:after="60" w:before="0"/>
        <w:jc w:val="center"/>
      </w:pPr>
      <w:r>
        <w:rPr>
          <w:rFonts w:ascii="Arial" w:cs="Arial" w:eastAsia="Arial" w:hAnsi="Arial"/>
          <w:b w:val="false"/>
          <w:bCs w:val="false"/>
          <w:color w:val="000000"/>
          <w:sz w:val="18"/>
          <w:szCs w:val="18"/>
        </w:rPr>
        <w:t xml:space="preserve">Financial data as of 31-Mar-2026 (provisional); banking data as of 21-Jul-2026</w:t>
      </w:r>
    </w:p>
    <w:p>
      <w:pPr>
        <w:spacing w:after="60" w:before="0"/>
        <w:jc w:val="center"/>
      </w:pPr>
      <w:r>
        <w:rPr>
          <w:rFonts w:ascii="Arial" w:cs="Arial" w:eastAsia="Arial" w:hAnsi="Arial"/>
          <w:b w:val="false"/>
          <w:bCs w:val="false"/>
          <w:color w:val="000000"/>
          <w:sz w:val="18"/>
          <w:szCs w:val="18"/>
        </w:rPr>
        <w:t xml:space="preserve">Debtor and debt schedules as of June–July 2026</w:t>
      </w:r>
    </w:p>
    <w:p>
      <w:pPr>
        <w:spacing w:after="0" w:before="360"/>
        <w:jc w:val="center"/>
      </w:pPr>
      <w:r>
        <w:rPr>
          <w:rFonts w:ascii="Arial" w:cs="Arial" w:eastAsia="Arial" w:hAnsi="Arial"/>
          <w:b/>
          <w:bCs/>
          <w:color w:val="000000"/>
          <w:sz w:val="18"/>
          <w:szCs w:val="18"/>
        </w:rPr>
        <w:t xml:space="preserve">Prepared by: Senior Credit Analyst, Credit Risk Group</w:t>
      </w:r>
    </w:p>
    <w:p>
      <w:pPr>
        <w:pStyle w:val="Heading1"/>
        <w:pageBreakBefore/>
        <w:spacing w:after="120" w:before="160"/>
        <w:jc w:val="left"/>
      </w:pPr>
      <w:r>
        <w:rPr>
          <w:rFonts w:ascii="Arial" w:cs="Arial" w:eastAsia="Arial" w:hAnsi="Arial"/>
          <w:b/>
          <w:bCs/>
          <w:color w:val="1F3864"/>
          <w:sz w:val="26"/>
          <w:szCs w:val="26"/>
        </w:rPr>
        <w:t xml:space="preserve">PROPOSAL SUMMARY</w:t>
      </w:r>
    </w:p>
    <w:p>
      <w:pPr>
        <w:pStyle w:val="Heading2"/>
        <w:spacing w:after="80" w:before="160"/>
        <w:jc w:val="left"/>
      </w:pPr>
      <w:r>
        <w:rPr>
          <w:rFonts w:ascii="Arial" w:cs="Arial" w:eastAsia="Arial" w:hAnsi="Arial"/>
          <w:b/>
          <w:bCs/>
          <w:color w:val="2E75B6"/>
          <w:sz w:val="22"/>
          <w:szCs w:val="22"/>
        </w:rPr>
        <w:t xml:space="preserve">Part A – 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rPr>
          <w:tblHeader/>
        </w:trPr>
        <w:tc>
          <w:tcPr>
            <w:tcW w:type="dxa" w:w="1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Parameter</w:t>
            </w:r>
          </w:p>
        </w:tc>
        <w:tc>
          <w:tcPr>
            <w:tcW w:type="dxa" w:w="27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Details</w:t>
            </w:r>
          </w:p>
        </w:tc>
        <w:tc>
          <w:tcPr>
            <w:tcW w:type="dxa" w:w="1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Parameter</w:t>
            </w:r>
          </w:p>
        </w:tc>
        <w:tc>
          <w:tcPr>
            <w:tcW w:type="dxa" w:w="27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Details</w:t>
            </w:r>
          </w:p>
        </w:tc>
      </w:tr>
      <w:tr>
        <w:trPr>
          <w:tblHeader w:val="false"/>
        </w:trPr>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Borrower</w:t>
            </w:r>
          </w:p>
        </w:tc>
        <w:tc>
          <w:tcPr>
            <w:tcW w:type="dxa" w:w="27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Pinnacle Lithium Power</w:t>
            </w:r>
          </w:p>
        </w:tc>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Constitution</w:t>
            </w:r>
          </w:p>
        </w:tc>
        <w:tc>
          <w:tcPr>
            <w:tcW w:type="dxa" w:w="27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Registered Partnership Firm</w:t>
            </w:r>
          </w:p>
        </w:tc>
      </w:tr>
      <w:tr>
        <w:trPr>
          <w:tblHeader w:val="false"/>
        </w:trPr>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Date of formation</w:t>
            </w:r>
          </w:p>
        </w:tc>
        <w:tc>
          <w:tcPr>
            <w:tcW w:type="dxa" w:w="27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08-Mar-2021 (deed); business commenced 08-Mar-2021</w:t>
            </w:r>
          </w:p>
        </w:tc>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Listed / Unlisted</w:t>
            </w:r>
          </w:p>
        </w:tc>
        <w:tc>
          <w:tcPr>
            <w:tcW w:type="dxa" w:w="27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Unlisted</w:t>
            </w:r>
          </w:p>
        </w:tc>
      </w:tr>
      <w:tr>
        <w:trPr>
          <w:tblHeader w:val="false"/>
        </w:trPr>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Segment</w:t>
            </w:r>
          </w:p>
        </w:tc>
        <w:tc>
          <w:tcPr>
            <w:tcW w:type="dxa" w:w="27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MSME – Manufacturing (Udyam registered)</w:t>
            </w:r>
          </w:p>
        </w:tc>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Industry</w:t>
            </w:r>
          </w:p>
        </w:tc>
        <w:tc>
          <w:tcPr>
            <w:tcW w:type="dxa" w:w="27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Lithium-ion battery pack assembly</w:t>
            </w:r>
          </w:p>
        </w:tc>
      </w:tr>
      <w:tr>
        <w:trPr>
          <w:tblHeader w:val="false"/>
        </w:trPr>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Sub-sector</w:t>
            </w:r>
          </w:p>
        </w:tc>
        <w:tc>
          <w:tcPr>
            <w:tcW w:type="dxa" w:w="27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Li-ion packs for MHE, EV 2W/3W, ESS, solar, robotics, drones</w:t>
            </w:r>
          </w:p>
        </w:tc>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ITR business code</w:t>
            </w:r>
          </w:p>
        </w:tc>
        <w:tc>
          <w:tcPr>
            <w:tcW w:type="dxa" w:w="27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04084 – Manufacture of motor vehicles</w:t>
            </w:r>
          </w:p>
        </w:tc>
      </w:tr>
      <w:tr>
        <w:trPr>
          <w:tblHeader w:val="false"/>
        </w:trPr>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CIBIL CMR</w:t>
            </w:r>
          </w:p>
        </w:tc>
        <w:tc>
          <w:tcPr>
            <w:tcW w:type="dxa" w:w="27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CMR-3 — Low risk (A3.2). No concerns.</w:t>
            </w:r>
          </w:p>
        </w:tc>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Climate classification</w:t>
            </w:r>
          </w:p>
        </w:tc>
        <w:tc>
          <w:tcPr>
            <w:tcW w:type="dxa" w:w="27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Climate mitigation – enabling (energy storage / e-mobility value chain)</w:t>
            </w:r>
          </w:p>
        </w:tc>
      </w:tr>
      <w:tr>
        <w:trPr>
          <w:tblHeader w:val="false"/>
        </w:trPr>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PAN</w:t>
            </w:r>
          </w:p>
        </w:tc>
        <w:tc>
          <w:tcPr>
            <w:tcW w:type="dxa" w:w="27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ABAFP0945L</w:t>
            </w:r>
          </w:p>
        </w:tc>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GSTIN</w:t>
            </w:r>
          </w:p>
        </w:tc>
        <w:tc>
          <w:tcPr>
            <w:tcW w:type="dxa" w:w="27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33ABAFP0945L1Z9</w:t>
            </w:r>
          </w:p>
        </w:tc>
      </w:tr>
      <w:tr>
        <w:trPr>
          <w:tblHeader w:val="false"/>
        </w:trPr>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Registered office</w:t>
            </w:r>
          </w:p>
        </w:tc>
        <w:tc>
          <w:tcPr>
            <w:tcW w:type="dxa" w:w="27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675/4A1 Part, Opp. MG Car Showroom, Avinashi Main Road, Chinniyampalayam, Coimbatore 641062, Tamil Nadu</w:t>
            </w:r>
          </w:p>
        </w:tc>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Dealings with Evam</w:t>
            </w:r>
          </w:p>
        </w:tc>
        <w:tc>
          <w:tcPr>
            <w:tcW w:type="dxa" w:w="27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New relationship — first facility</w:t>
            </w:r>
          </w:p>
        </w:tc>
      </w:tr>
      <w:tr>
        <w:trPr>
          <w:tblHeader w:val="false"/>
        </w:trPr>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Statutory auditor</w:t>
            </w:r>
          </w:p>
        </w:tc>
        <w:tc>
          <w:tcPr>
            <w:tcW w:type="dxa" w:w="27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Senthil Kumar and Sundararajan, Chartered Accountants, Tirupur (FRN 011750S); signing partner R. Senthilkumar, M.No. 217085</w:t>
            </w:r>
          </w:p>
        </w:tc>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Existing WC banker</w:t>
            </w:r>
          </w:p>
        </w:tc>
        <w:tc>
          <w:tcPr>
            <w:tcW w:type="dxa" w:w="27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Bank of India, Lakkampatti Branch (Cash Credit Rs. 250 lakh)</w:t>
            </w:r>
          </w:p>
        </w:tc>
      </w:tr>
    </w:tbl>
    <w:p>
      <w:pPr>
        <w:pStyle w:val="Heading2"/>
        <w:spacing w:after="80" w:before="160"/>
        <w:jc w:val="left"/>
      </w:pPr>
      <w:r>
        <w:rPr>
          <w:rFonts w:ascii="Arial" w:cs="Arial" w:eastAsia="Arial" w:hAnsi="Arial"/>
          <w:b/>
          <w:bCs/>
          <w:color w:val="2E75B6"/>
          <w:sz w:val="22"/>
          <w:szCs w:val="22"/>
        </w:rPr>
        <w:t xml:space="preserve">Evam Strategy</w:t>
      </w:r>
    </w:p>
    <w:p>
      <w:pPr>
        <w:spacing w:after="80" w:before="80"/>
        <w:jc w:val="both"/>
      </w:pPr>
      <w:r>
        <w:rPr>
          <w:rFonts w:ascii="Arial" w:cs="Arial" w:eastAsia="Arial" w:hAnsi="Arial"/>
          <w:b w:val="false"/>
          <w:bCs w:val="false"/>
          <w:i w:val="false"/>
          <w:iCs w:val="false"/>
          <w:color w:val="000000"/>
          <w:sz w:val="18"/>
          <w:szCs w:val="18"/>
        </w:rPr>
        <w:t xml:space="preserve">This account is being underwritten as much for where it sits as for what it earns today. The borrower is a third-party lithium pack assembler feeding four separate value chains from a single Coimbatore plant, and each of those chains contains counterparties that Evam can serve directly.</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Ecosystem access — material handling and industrial rental. </w:t>
      </w:r>
      <w:r>
        <w:rPr>
          <w:rFonts w:ascii="Arial" w:cs="Arial" w:eastAsia="Arial" w:hAnsi="Arial"/>
          <w:b w:val="false"/>
          <w:bCs w:val="false"/>
          <w:i w:val="false"/>
          <w:iCs w:val="false"/>
          <w:color w:val="000000"/>
          <w:sz w:val="18"/>
          <w:szCs w:val="18"/>
        </w:rPr>
        <w:t xml:space="preserve">The confirmed order book is entirely industrial: Haul Material Handling, SRS Material Handling India Private Limited (trading as Sriram Forklifters, Chennai) and Mtandt Rentals Limited. Mtandt alone carries paid-up capital of Rs. 15.70 crore, 663 employees and open charges of Rs. 553.32 crore, which is the profile of a borrower that uses several lenders and could take equipment-backed term debt or lease finance from Evam. Forklift and aerial-platform rental fleets electrifying to lithium is a financeable asset class in its own right, and this borrower is the point of entry to it.</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Ecosystem access — the e-mobility dealer network. </w:t>
      </w:r>
      <w:r>
        <w:rPr>
          <w:rFonts w:ascii="Arial" w:cs="Arial" w:eastAsia="Arial" w:hAnsi="Arial"/>
          <w:b w:val="false"/>
          <w:bCs w:val="false"/>
          <w:i w:val="false"/>
          <w:iCs w:val="false"/>
          <w:color w:val="000000"/>
          <w:sz w:val="18"/>
          <w:szCs w:val="18"/>
        </w:rPr>
        <w:t xml:space="preserve">The debtor ledger runs to a hundred names and the bank statements show roughly 4,400 collection transactions in sixteen months from dealers such as Aruna Wheels LLP, Oscar E Motors, Iyarkai Motors, Bairava Motors, Tera Equipments, Nila e Bikes and ABJ Bike. These are small retail businesses that finance inventory on 15-to-30 day terms and are natural candidates for dealer floor-plan finance and invoice discounting at ticket sizes of Rs. 5–25 lakh. Originating through the borrower gives Evam a pre-screened list with observable payment behaviour, which is a considerably better starting point than cold acquisition.</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Anchor-led origination upstream. </w:t>
      </w:r>
      <w:r>
        <w:rPr>
          <w:rFonts w:ascii="Arial" w:cs="Arial" w:eastAsia="Arial" w:hAnsi="Arial"/>
          <w:b w:val="false"/>
          <w:bCs w:val="false"/>
          <w:i w:val="false"/>
          <w:iCs w:val="false"/>
          <w:color w:val="000000"/>
          <w:sz w:val="18"/>
          <w:szCs w:val="18"/>
        </w:rPr>
        <w:t xml:space="preserve">Cell and component suppliers appear repeatedly on the payment side: Qmax Ion Private Limited, Green Virtous Energy LLP, Trex Energy Private Limited, Aqueouss Solutions, Thedush Robotics, Axiom Energy Conversion Limited and Nav Shakti Lithium Private Limited. Several receive single payments of Rs. 25 lakh. Suppliers of that size selling to multiple pack assemblers on 30-to-40 day terms are the classic purchase-order and supply-chain finance client, and Evam can approach them with a documented trade history rather than a pitch.</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Relationship cultivation over five to ten years. </w:t>
      </w:r>
      <w:r>
        <w:rPr>
          <w:rFonts w:ascii="Arial" w:cs="Arial" w:eastAsia="Arial" w:hAnsi="Arial"/>
          <w:b w:val="false"/>
          <w:bCs w:val="false"/>
          <w:i w:val="false"/>
          <w:iCs w:val="false"/>
          <w:color w:val="000000"/>
          <w:sz w:val="18"/>
          <w:szCs w:val="18"/>
        </w:rPr>
        <w:t xml:space="preserve">The four partners are aged 27 to 29 and have run this business for five years from a standing start. Revenue has compounded at 31.0% since FY 2022–23 and the plant is running at roughly half its stated capacity, so the next Rs. 30–40 crore of turnover needs working capital rather than a new factory. A promoter group this young with a functioning distribution network is worth holding through two or three limit cycles; the constraint on them is capital, not demand.</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Co-lending and syndication as the limit grows. </w:t>
      </w:r>
      <w:r>
        <w:rPr>
          <w:rFonts w:ascii="Arial" w:cs="Arial" w:eastAsia="Arial" w:hAnsi="Arial"/>
          <w:b w:val="false"/>
          <w:bCs w:val="false"/>
          <w:i w:val="false"/>
          <w:iCs w:val="false"/>
          <w:color w:val="000000"/>
          <w:sz w:val="18"/>
          <w:szCs w:val="18"/>
        </w:rPr>
        <w:t xml:space="preserve">Bank of India is already at full utilisation on a Rs. 250 lakh cash credit and the assessed requirement on management projections is Rs. 340 lakh. If the borrower delivers even the Analyst Base Case, the aggregate working capital need passes Rs. 400 lakh within two cycles — a size at which Evam can either take a larger bilateral position or structure a co-lending arrangement with Bank of India under a pari passu framework that is already contemplated in this term sheet.</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Future AIF and climate fund pipeline. </w:t>
      </w:r>
      <w:r>
        <w:rPr>
          <w:rFonts w:ascii="Arial" w:cs="Arial" w:eastAsia="Arial" w:hAnsi="Arial"/>
          <w:b w:val="false"/>
          <w:bCs w:val="false"/>
          <w:i w:val="false"/>
          <w:iCs w:val="false"/>
          <w:color w:val="000000"/>
          <w:sz w:val="18"/>
          <w:szCs w:val="18"/>
        </w:rPr>
        <w:t xml:space="preserve">Energy storage assembly with in-house battery management software, phase-change thermal management and an IoT state-of-charge product sits squarely inside a climate mandate. The firm would need to convert to a corporate structure before any equity participation is possible, and it is worth noting that the partners have already incorporated a private limited company. That said, the governance and related-party issues identified in this memorandum would have to be cleaned up first; this is a debt relationship to be earned before it becomes an equity conversation.</w:t>
      </w:r>
    </w:p>
    <w:p>
      <w:pPr>
        <w:spacing w:after="80" w:before="80"/>
        <w:jc w:val="both"/>
      </w:pPr>
      <w:r>
        <w:rPr>
          <w:rFonts w:ascii="Arial" w:cs="Arial" w:eastAsia="Arial" w:hAnsi="Arial"/>
          <w:b w:val="false"/>
          <w:bCs w:val="false"/>
          <w:i/>
          <w:iCs/>
          <w:color w:val="000000"/>
          <w:sz w:val="18"/>
          <w:szCs w:val="18"/>
        </w:rPr>
        <w:t xml:space="preserve">A first facility of Rs. 1 crore here buys Evam a mapped position in the lithium pack supply chain on both sides of the borrower — and the mapping, not the interest income, is the return that matters.</w:t>
      </w:r>
    </w:p>
    <w:p>
      <w:pPr>
        <w:pStyle w:val="Heading2"/>
        <w:spacing w:after="80" w:before="160"/>
        <w:jc w:val="left"/>
      </w:pPr>
      <w:r>
        <w:rPr>
          <w:rFonts w:ascii="Arial" w:cs="Arial" w:eastAsia="Arial" w:hAnsi="Arial"/>
          <w:b/>
          <w:bCs/>
          <w:color w:val="2E75B6"/>
          <w:sz w:val="22"/>
          <w:szCs w:val="22"/>
        </w:rPr>
        <w:t xml:space="preserve">Part B – Proposal Details</w:t>
      </w:r>
    </w:p>
    <w:p>
      <w:pPr>
        <w:spacing w:after="80" w:before="80"/>
        <w:jc w:val="both"/>
      </w:pPr>
      <w:r>
        <w:rPr>
          <w:rFonts w:ascii="Arial" w:cs="Arial" w:eastAsia="Arial" w:hAnsi="Arial"/>
          <w:b w:val="false"/>
          <w:bCs w:val="false"/>
          <w:i w:val="false"/>
          <w:iCs w:val="false"/>
          <w:color w:val="000000"/>
          <w:sz w:val="18"/>
          <w:szCs w:val="18"/>
        </w:rPr>
        <w:t xml:space="preserve">A revolving working capital loan of up to Rs. 100 lakh to finance the inventory and receivable cycle of the firm's lithium battery pack assembly business, drawn in tranches of 30 to 120 days repaid bullet on maturity, available for twelve months and renewable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1180"/>
        <w:gridCol w:w="900"/>
        <w:gridCol w:w="700"/>
        <w:gridCol w:w="1000"/>
        <w:gridCol w:w="800"/>
        <w:gridCol w:w="700"/>
        <w:gridCol w:w="800"/>
        <w:gridCol w:w="1000"/>
        <w:gridCol w:w="900"/>
      </w:tblGrid>
      <w:tr>
        <w:trPr>
          <w:tblHeader/>
        </w:trPr>
        <w:tc>
          <w:tcPr>
            <w:tcW w:type="dxa" w:w="13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Facility</w:t>
            </w:r>
          </w:p>
        </w:tc>
        <w:tc>
          <w:tcPr>
            <w:tcW w:type="dxa" w:w="11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Purpose</w:t>
            </w:r>
          </w:p>
        </w:tc>
        <w:tc>
          <w:tcPr>
            <w:tcW w:type="dxa" w:w="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Existing Limits</w:t>
            </w:r>
          </w:p>
        </w:tc>
        <w:tc>
          <w:tcPr>
            <w:tcW w:type="dxa" w:w="7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O/s</w:t>
            </w:r>
          </w:p>
        </w:tc>
        <w:tc>
          <w:tcPr>
            <w:tcW w:type="dxa" w:w="10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Proposed Limits</w:t>
            </w:r>
          </w:p>
        </w:tc>
        <w:tc>
          <w:tcPr>
            <w:tcW w:type="dxa" w:w="8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Avail. (months)</w:t>
            </w:r>
          </w:p>
        </w:tc>
        <w:tc>
          <w:tcPr>
            <w:tcW w:type="dxa" w:w="7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Tenor (months)</w:t>
            </w:r>
          </w:p>
        </w:tc>
        <w:tc>
          <w:tcPr>
            <w:tcW w:type="dxa" w:w="8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Interest Rate</w:t>
            </w:r>
          </w:p>
        </w:tc>
        <w:tc>
          <w:tcPr>
            <w:tcW w:type="dxa" w:w="10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Secured / Unsecured</w:t>
            </w:r>
          </w:p>
        </w:tc>
        <w:tc>
          <w:tcPr>
            <w:tcW w:type="dxa" w:w="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Type</w:t>
            </w:r>
          </w:p>
        </w:tc>
      </w:tr>
      <w:tr>
        <w:trPr>
          <w:tblHeader w:val="false"/>
        </w:trPr>
        <w:tc>
          <w:tcPr>
            <w:tcW w:type="dxa" w:w="13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Working Capital Loan</w:t>
            </w:r>
          </w:p>
        </w:tc>
        <w:tc>
          <w:tcPr>
            <w:tcW w:type="dxa" w:w="11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Working capital of the firm</w:t>
            </w:r>
          </w:p>
        </w:tc>
        <w:tc>
          <w:tcPr>
            <w:tcW w:type="dxa" w:w="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0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100.0</w:t>
            </w:r>
          </w:p>
        </w:tc>
        <w:tc>
          <w:tcPr>
            <w:tcW w:type="dxa" w:w="8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12</w:t>
            </w:r>
          </w:p>
        </w:tc>
        <w:tc>
          <w:tcPr>
            <w:tcW w:type="dxa" w:w="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12 (each drawdown 1–4)</w:t>
            </w:r>
          </w:p>
        </w:tc>
        <w:tc>
          <w:tcPr>
            <w:tcW w:type="dxa" w:w="8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15.00% p.a. fixed</w:t>
            </w:r>
          </w:p>
        </w:tc>
        <w:tc>
          <w:tcPr>
            <w:tcW w:type="dxa" w:w="10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Secured</w:t>
            </w:r>
          </w:p>
        </w:tc>
        <w:tc>
          <w:tcPr>
            <w:tcW w:type="dxa" w:w="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Revolving, fund based</w:t>
            </w:r>
          </w:p>
        </w:tc>
      </w:tr>
      <w:tr>
        <w:trPr>
          <w:tblHeader w:val="false"/>
        </w:trPr>
        <w:tc>
          <w:tcPr>
            <w:tcW w:type="dxa" w:w="13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w:t>
            </w:r>
          </w:p>
        </w:tc>
        <w:tc>
          <w:tcPr>
            <w:tcW w:type="dxa" w:w="11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0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100.0</w:t>
            </w:r>
          </w:p>
        </w:tc>
        <w:tc>
          <w:tcPr>
            <w:tcW w:type="dxa" w:w="8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8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0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bl>
    <w:p>
      <w:pPr>
        <w:spacing w:after="80" w:before="80"/>
        <w:jc w:val="both"/>
      </w:pPr>
      <w:r>
        <w:rPr>
          <w:rFonts w:ascii="Arial" w:cs="Arial" w:eastAsia="Arial" w:hAnsi="Arial"/>
          <w:b w:val="false"/>
          <w:bCs w:val="false"/>
          <w:i/>
          <w:iCs/>
          <w:color w:val="000000"/>
          <w:sz w:val="18"/>
          <w:szCs w:val="18"/>
        </w:rPr>
        <w:t xml:space="preserve">All amounts in Rs. lakh. Interest computed on a 365-day basis and payable monthly on a specified day. Principal repayable bullet on the maturity date of each drawdown or tranche.</w:t>
      </w:r>
    </w:p>
    <w:p>
      <w:pPr>
        <w:pStyle w:val="Heading2"/>
        <w:spacing w:after="80" w:before="160"/>
        <w:jc w:val="left"/>
      </w:pPr>
      <w:r>
        <w:rPr>
          <w:rFonts w:ascii="Arial" w:cs="Arial" w:eastAsia="Arial" w:hAnsi="Arial"/>
          <w:b/>
          <w:bCs/>
          <w:color w:val="2E75B6"/>
          <w:sz w:val="22"/>
          <w:szCs w:val="22"/>
        </w:rPr>
        <w:t xml:space="preserve">Key Terms</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Deviations: </w:t>
      </w:r>
      <w:r>
        <w:rPr>
          <w:rFonts w:ascii="Arial" w:cs="Arial" w:eastAsia="Arial" w:hAnsi="Arial"/>
          <w:b w:val="false"/>
          <w:bCs w:val="false"/>
          <w:i w:val="false"/>
          <w:iCs w:val="false"/>
          <w:color w:val="000000"/>
          <w:sz w:val="18"/>
          <w:szCs w:val="18"/>
        </w:rPr>
        <w:t xml:space="preserve">Deviations to be confirmed against credit policy. Evam's credit policy norms for minimum DSCR, maximum TOL/TNW, minimum current ratio, promoter net worth cover and constitution eligibility were not supplied with the deal inputs, so no deviation can be stated with authority. On the face of the numbers, three parameters are likely to require a policy view: TOL/TNW of 3.61 times at FY26; a partnership constitution with unlimited but uncapped partner liability and no ROC charge registry; and an Analyst Base Case DSCR of 1.59 times, which is adequate but not comfortable.</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Processing fee: </w:t>
      </w:r>
      <w:r>
        <w:rPr>
          <w:rFonts w:ascii="Arial" w:cs="Arial" w:eastAsia="Arial" w:hAnsi="Arial"/>
          <w:b w:val="false"/>
          <w:bCs w:val="false"/>
          <w:i w:val="false"/>
          <w:iCs w:val="false"/>
          <w:color w:val="000000"/>
          <w:sz w:val="18"/>
          <w:szCs w:val="18"/>
        </w:rPr>
        <w:t xml:space="preserve">2.0% of the sanctioned amount plus applicable taxes, payable upfront and non-refundable. Documentation fee Rs. 25,000 plus GST.</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Prepayment: </w:t>
      </w:r>
      <w:r>
        <w:rPr>
          <w:rFonts w:ascii="Arial" w:cs="Arial" w:eastAsia="Arial" w:hAnsi="Arial"/>
          <w:b w:val="false"/>
          <w:bCs w:val="false"/>
          <w:i w:val="false"/>
          <w:iCs w:val="false"/>
          <w:color w:val="000000"/>
          <w:sz w:val="18"/>
          <w:szCs w:val="18"/>
        </w:rPr>
        <w:t xml:space="preserve">Pre-closure charge of 4% of the sanctioned limit if the facility is closed within twelve months of sanction. Repayment of a disbursement tranche on its due date carries no penalty. Commitment fee nil.</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Other charges: </w:t>
      </w:r>
      <w:r>
        <w:rPr>
          <w:rFonts w:ascii="Arial" w:cs="Arial" w:eastAsia="Arial" w:hAnsi="Arial"/>
          <w:b w:val="false"/>
          <w:bCs w:val="false"/>
          <w:i w:val="false"/>
          <w:iCs w:val="false"/>
          <w:color w:val="000000"/>
          <w:sz w:val="18"/>
          <w:szCs w:val="18"/>
        </w:rPr>
        <w:t xml:space="preserve">Cheque bounce Rs. 1,000 per instance; non-creation of security Rs. 1,000 per day from the thirty-first day after due date until perfected; reschedulement 2.00% of the outstanding amount; default and penal charges 2% per month over the applicable rate on all amounts in default.</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Special conditions: </w:t>
      </w:r>
      <w:r>
        <w:rPr>
          <w:rFonts w:ascii="Arial" w:cs="Arial" w:eastAsia="Arial" w:hAnsi="Arial"/>
          <w:b w:val="false"/>
          <w:bCs w:val="false"/>
          <w:i w:val="false"/>
          <w:iCs w:val="false"/>
          <w:color w:val="000000"/>
          <w:sz w:val="18"/>
          <w:szCs w:val="18"/>
        </w:rPr>
        <w:t xml:space="preserve">Pari passu charge ceding letter from Bank of India within 90 days of first disbursement. Minimum 1.0 times security cover throughout the tenor, any shortfall cured within 30 days of notification. End use strictly monitored and restricted; no utilisation to group entities, unsecured loans, investments or prohibited activities. Undertaking that no additional finance will be availed against the same assets. Evam may call the entire outstanding on 30 days' written notice at any time during the tenor. Quarterly operational and financial statements within 30 days of quarter end; annual audited financials within 180 days of year end. Financial covenants to be fixed at final sanction.</w:t>
      </w:r>
    </w:p>
    <w:p>
      <w:pPr>
        <w:pStyle w:val="Heading2"/>
        <w:spacing w:after="80" w:before="160"/>
        <w:jc w:val="left"/>
      </w:pPr>
      <w:r>
        <w:rPr>
          <w:rFonts w:ascii="Arial" w:cs="Arial" w:eastAsia="Arial" w:hAnsi="Arial"/>
          <w:b/>
          <w:bCs/>
          <w:color w:val="2E75B6"/>
          <w:sz w:val="22"/>
          <w:szCs w:val="22"/>
        </w:rPr>
        <w:t xml:space="preserve">Part C –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rPr>
          <w:tblHeader/>
        </w:trPr>
        <w:tc>
          <w:tcPr>
            <w:tcW w:type="dxa" w:w="1600"/>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Facility</w:t>
            </w:r>
          </w:p>
        </w:tc>
        <w:tc>
          <w:tcPr>
            <w:tcW w:type="dxa" w:w="5960"/>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Security Stipulated</w:t>
            </w:r>
          </w:p>
        </w:tc>
        <w:tc>
          <w:tcPr>
            <w:tcW w:type="dxa" w:w="1800"/>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Perfection Timeline</w:t>
            </w:r>
          </w:p>
        </w:tc>
      </w:tr>
      <w:tr>
        <w:tc>
          <w:tcPr>
            <w:tcW w:type="dxa" w:w="1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20" w:before="0"/>
            </w:pPr>
            <w:r>
              <w:rPr>
                <w:rFonts w:ascii="Arial" w:cs="Arial" w:eastAsia="Arial" w:hAnsi="Arial"/>
                <w:b/>
                <w:bCs/>
                <w:sz w:val="18"/>
                <w:szCs w:val="18"/>
              </w:rPr>
              <w:t xml:space="preserve">Working Capital Loan Rs. 100 lakh</w:t>
            </w:r>
          </w:p>
        </w:tc>
        <w:tc>
          <w:tcPr>
            <w:tcW w:type="dxa" w:w="59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20" w:before="0"/>
            </w:pPr>
            <w:r>
              <w:rPr>
                <w:rFonts w:ascii="Arial" w:cs="Arial" w:eastAsia="Arial" w:hAnsi="Arial"/>
                <w:b/>
                <w:bCs/>
                <w:i w:val="false"/>
                <w:iCs w:val="false"/>
                <w:sz w:val="18"/>
                <w:szCs w:val="18"/>
              </w:rPr>
              <w:t xml:space="preserve">Primary</w:t>
            </w:r>
          </w:p>
          <w:p>
            <w:pPr>
              <w:spacing w:after="20" w:before="0"/>
            </w:pPr>
            <w:r>
              <w:rPr>
                <w:rFonts w:ascii="Arial" w:cs="Arial" w:eastAsia="Arial" w:hAnsi="Arial"/>
                <w:b w:val="false"/>
                <w:bCs w:val="false"/>
                <w:sz w:val="18"/>
                <w:szCs w:val="18"/>
              </w:rPr>
              <w:t xml:space="preserve">First-ranking pari passu charge by way of hypothecation over all present and future current assets and movable fixed assets of the Borrower, alongside Bank of India, excluding assets specifically charged to and financed by other lenders.</w:t>
            </w:r>
          </w:p>
          <w:p>
            <w:pPr>
              <w:spacing w:after="20" w:before="0"/>
            </w:pPr>
            <w:r>
              <w:rPr>
                <w:rFonts w:ascii="Arial" w:cs="Arial" w:eastAsia="Arial" w:hAnsi="Arial"/>
                <w:b/>
                <w:bCs/>
                <w:i w:val="false"/>
                <w:iCs w:val="false"/>
                <w:sz w:val="18"/>
                <w:szCs w:val="18"/>
              </w:rPr>
              <w:t xml:space="preserve">Secondary</w:t>
            </w:r>
          </w:p>
          <w:p>
            <w:pPr>
              <w:spacing w:after="20" w:before="0"/>
            </w:pPr>
            <w:r>
              <w:rPr>
                <w:rFonts w:ascii="Arial" w:cs="Arial" w:eastAsia="Arial" w:hAnsi="Arial"/>
                <w:b w:val="false"/>
                <w:bCs w:val="false"/>
                <w:sz w:val="18"/>
                <w:szCs w:val="18"/>
              </w:rPr>
              <w:t xml:space="preserve">Not applicable — no second charge stipulated. Note that the machinery financed by Bank of India term loans and by SIDBI, and the vehicles financed by Mahindra &amp; Mahindra Financial Services, are specifically charged elsewhere and fall outside Evam's pool.</w:t>
            </w:r>
          </w:p>
          <w:p>
            <w:pPr>
              <w:spacing w:after="20" w:before="0"/>
            </w:pPr>
            <w:r>
              <w:rPr>
                <w:rFonts w:ascii="Arial" w:cs="Arial" w:eastAsia="Arial" w:hAnsi="Arial"/>
                <w:b/>
                <w:bCs/>
                <w:i w:val="false"/>
                <w:iCs w:val="false"/>
                <w:sz w:val="18"/>
                <w:szCs w:val="18"/>
              </w:rPr>
              <w:t xml:space="preserve">Collateral</w:t>
            </w:r>
          </w:p>
          <w:p>
            <w:pPr>
              <w:spacing w:after="20" w:before="0"/>
            </w:pPr>
            <w:r>
              <w:rPr>
                <w:rFonts w:ascii="Arial" w:cs="Arial" w:eastAsia="Arial" w:hAnsi="Arial"/>
                <w:b w:val="false"/>
                <w:bCs w:val="false"/>
                <w:sz w:val="18"/>
                <w:szCs w:val="18"/>
              </w:rPr>
              <w:t xml:space="preserve">Cash collateral of 10.0% of the sanctioned facility amount (Rs. 10 lakh) held as an interest-free deposit with Evam for the duration of the facility. No immovable property collateral is stipulated.</w:t>
            </w:r>
          </w:p>
          <w:p>
            <w:pPr>
              <w:spacing w:after="20" w:before="0"/>
            </w:pPr>
            <w:r>
              <w:rPr>
                <w:rFonts w:ascii="Arial" w:cs="Arial" w:eastAsia="Arial" w:hAnsi="Arial"/>
                <w:b/>
                <w:bCs/>
                <w:i w:val="false"/>
                <w:iCs w:val="false"/>
                <w:sz w:val="18"/>
                <w:szCs w:val="18"/>
              </w:rPr>
              <w:t xml:space="preserve">Personal Guarantee</w:t>
            </w:r>
          </w:p>
          <w:p>
            <w:pPr>
              <w:spacing w:after="20" w:before="0"/>
            </w:pPr>
            <w:r>
              <w:rPr>
                <w:rFonts w:ascii="Arial" w:cs="Arial" w:eastAsia="Arial" w:hAnsi="Arial"/>
                <w:b w:val="false"/>
                <w:bCs w:val="false"/>
                <w:sz w:val="18"/>
                <w:szCs w:val="18"/>
              </w:rPr>
              <w:t xml:space="preserve">Joint and several personal guarantees of Mr. Gowrisankar Shivrane, Mr. Aravind Siddharth S, Mr. Pranav S Kumar and Mr. Siddhaarth A B.</w:t>
            </w:r>
          </w:p>
          <w:p>
            <w:pPr>
              <w:spacing w:after="20" w:before="0"/>
            </w:pPr>
            <w:r>
              <w:rPr>
                <w:rFonts w:ascii="Arial" w:cs="Arial" w:eastAsia="Arial" w:hAnsi="Arial"/>
                <w:b/>
                <w:bCs/>
                <w:i w:val="false"/>
                <w:iCs w:val="false"/>
                <w:sz w:val="18"/>
                <w:szCs w:val="18"/>
              </w:rPr>
              <w:t xml:space="preserve">Undated Cheques</w:t>
            </w:r>
          </w:p>
          <w:p>
            <w:pPr>
              <w:spacing w:after="20" w:before="0"/>
            </w:pPr>
            <w:r>
              <w:rPr>
                <w:rFonts w:ascii="Arial" w:cs="Arial" w:eastAsia="Arial" w:hAnsi="Arial"/>
                <w:b w:val="false"/>
                <w:bCs w:val="false"/>
                <w:sz w:val="18"/>
                <w:szCs w:val="18"/>
              </w:rPr>
              <w:t xml:space="preserve">Two undated cheques from the Borrower and from each Personal Guarantor. Escrow or digital escrow account where applicable. NACH mandate or ECS registration on the designated repayment bank account in favour of Evam Finance.</w:t>
            </w:r>
          </w:p>
        </w:tc>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20" w:before="0"/>
            </w:pPr>
            <w:r>
              <w:rPr>
                <w:rFonts w:ascii="Arial" w:cs="Arial" w:eastAsia="Arial" w:hAnsi="Arial"/>
                <w:b w:val="false"/>
                <w:bCs w:val="false"/>
                <w:sz w:val="18"/>
                <w:szCs w:val="18"/>
              </w:rPr>
              <w:t xml:space="preserve">Hypothecation deed and charge creation at first disbursement.</w:t>
            </w:r>
          </w:p>
          <w:p>
            <w:pPr>
              <w:spacing w:after="20" w:before="0"/>
            </w:pPr>
            <w:r>
              <w:rPr>
                <w:rFonts w:ascii="Arial" w:cs="Arial" w:eastAsia="Arial" w:hAnsi="Arial"/>
                <w:b w:val="false"/>
                <w:bCs w:val="false"/>
                <w:sz w:val="18"/>
                <w:szCs w:val="18"/>
              </w:rPr>
              <w:t xml:space="preserve">Pari passu ceding letter from Bank of India within 90 days of first disbursement.</w:t>
            </w:r>
          </w:p>
          <w:p>
            <w:pPr>
              <w:spacing w:after="20" w:before="0"/>
            </w:pPr>
            <w:r>
              <w:rPr>
                <w:rFonts w:ascii="Arial" w:cs="Arial" w:eastAsia="Arial" w:hAnsi="Arial"/>
                <w:b w:val="false"/>
                <w:bCs w:val="false"/>
                <w:sz w:val="18"/>
                <w:szCs w:val="18"/>
              </w:rPr>
              <w:t xml:space="preserve">ROC / Registrar of Firms filing and CERSAI registration within the timelines in the Facility Agreement.</w:t>
            </w:r>
          </w:p>
          <w:p>
            <w:pPr>
              <w:spacing w:after="20" w:before="0"/>
            </w:pPr>
            <w:r>
              <w:rPr>
                <w:rFonts w:ascii="Arial" w:cs="Arial" w:eastAsia="Arial" w:hAnsi="Arial"/>
                <w:b w:val="false"/>
                <w:bCs w:val="false"/>
                <w:sz w:val="18"/>
                <w:szCs w:val="18"/>
              </w:rPr>
              <w:t xml:space="preserve">Cash collateral, NACH mandate and undated cheques to be in place before first disbursement.</w:t>
            </w:r>
          </w:p>
          <w:p>
            <w:pPr>
              <w:spacing w:after="20" w:before="0"/>
            </w:pPr>
            <w:r>
              <w:rPr>
                <w:rFonts w:ascii="Arial" w:cs="Arial" w:eastAsia="Arial" w:hAnsi="Arial"/>
                <w:b w:val="false"/>
                <w:bCs w:val="false"/>
                <w:sz w:val="18"/>
                <w:szCs w:val="18"/>
              </w:rPr>
              <w:t xml:space="preserve">Insurance endorsed in favour of Evam within 30 days of first disbursement.</w:t>
            </w:r>
          </w:p>
        </w:tc>
      </w:tr>
    </w:tbl>
    <w:p>
      <w:pPr>
        <w:spacing w:after="80" w:before="80"/>
        <w:jc w:val="both"/>
      </w:pPr>
      <w:r>
        <w:rPr>
          <w:rFonts w:ascii="Arial" w:cs="Arial" w:eastAsia="Arial" w:hAnsi="Arial"/>
          <w:b/>
          <w:bCs/>
          <w:i w:val="false"/>
          <w:iCs w:val="false"/>
          <w:color w:val="000000"/>
          <w:sz w:val="18"/>
          <w:szCs w:val="18"/>
        </w:rPr>
        <w:t xml:space="preserve">Security comment: </w:t>
      </w:r>
      <w:r>
        <w:rPr>
          <w:rFonts w:ascii="Arial" w:cs="Arial" w:eastAsia="Arial" w:hAnsi="Arial"/>
          <w:b w:val="false"/>
          <w:bCs w:val="false"/>
          <w:i w:val="false"/>
          <w:iCs w:val="false"/>
          <w:color w:val="000000"/>
          <w:sz w:val="18"/>
          <w:szCs w:val="18"/>
        </w:rPr>
        <w:t xml:space="preserve">Evam shares the current asset pool with Bank of India on a pari passu basis. On a stressed realisation of that pool — inventory at 55% and receivables at 75% — the coverage against the combined Rs. 350 lakh of claims is 1.09 times, plus the Rs. 10 lakh cash collateral. The minimum 1.0 times cover covenant is therefore satisfied with very little margin and will breach if inventory realises below roughly 50%. Because inventory is 67.7% of current assets, the security position is effectively an inventory position, which is why physical verification and stock ageing carry unusual weight in this transaction.</w:t>
      </w:r>
    </w:p>
    <w:p>
      <w:pPr>
        <w:pStyle w:val="Heading1"/>
        <w:pageBreakBefore/>
        <w:spacing w:after="120" w:before="160"/>
        <w:jc w:val="left"/>
      </w:pPr>
      <w:r>
        <w:rPr>
          <w:rFonts w:ascii="Arial" w:cs="Arial" w:eastAsia="Arial" w:hAnsi="Arial"/>
          <w:b/>
          <w:bCs/>
          <w:color w:val="1F3864"/>
          <w:sz w:val="26"/>
          <w:szCs w:val="26"/>
        </w:rPr>
        <w:t xml:space="preserve">SECTION 1: EXECUTIVE SUMMARY</w:t>
      </w:r>
    </w:p>
    <w:p>
      <w:pPr>
        <w:spacing w:after="80" w:before="80"/>
        <w:jc w:val="both"/>
      </w:pPr>
      <w:r>
        <w:rPr>
          <w:rFonts w:ascii="Arial" w:cs="Arial" w:eastAsia="Arial" w:hAnsi="Arial"/>
          <w:b w:val="false"/>
          <w:bCs w:val="false"/>
          <w:i w:val="false"/>
          <w:iCs w:val="false"/>
          <w:color w:val="000000"/>
          <w:sz w:val="18"/>
          <w:szCs w:val="18"/>
        </w:rPr>
        <w:t xml:space="preserve">Pinnacle Lithium Power is a five-year-old Coimbatore partnership that designs and assembles lithium-ion battery packs in NMC and LFP chemistries under its own brand, Pulze. It does not make cells; it buys them and builds finished packs with in-house battery management electronics, thermal management and enclosures, selling into four end markets — material handling equipment, electric two and three wheelers, stationary energy storage, and specialised applications including solar, robotics and drones.</w:t>
      </w:r>
    </w:p>
    <w:p>
      <w:pPr>
        <w:spacing w:after="80" w:before="80"/>
        <w:jc w:val="both"/>
      </w:pPr>
      <w:r>
        <w:rPr>
          <w:rFonts w:ascii="Arial" w:cs="Arial" w:eastAsia="Arial" w:hAnsi="Arial"/>
          <w:b w:val="false"/>
          <w:bCs w:val="false"/>
          <w:i w:val="false"/>
          <w:iCs w:val="false"/>
          <w:color w:val="000000"/>
          <w:sz w:val="18"/>
          <w:szCs w:val="18"/>
        </w:rPr>
        <w:t xml:space="preserve">The commercial model has two distinct halves that behave very differently. The recurring half is a dealer network: roughly a hundred small motor agencies, e-bike retailers and equipment dealers buying packs on 15-to-30 day credit, which produced about 4,400 separate collection transactions through the Bank of India account over sixteen months. The lumpy half is direct industrial supply — large-format forklift and rental-fleet packs for Haul Material Handling, SRS Material Handling and Mtandt Rentals — which is where the entire confirmed order book sits. The first half gives the business its granularity and its cash rhythm; the second gives it order visibility and single-name concentration at the same time.</w:t>
      </w:r>
    </w:p>
    <w:p>
      <w:pPr>
        <w:spacing w:after="80" w:before="80"/>
        <w:jc w:val="both"/>
      </w:pPr>
      <w:r>
        <w:rPr>
          <w:rFonts w:ascii="Arial" w:cs="Arial" w:eastAsia="Arial" w:hAnsi="Arial"/>
          <w:b w:val="false"/>
          <w:bCs w:val="false"/>
          <w:i w:val="false"/>
          <w:iCs w:val="false"/>
          <w:color w:val="000000"/>
          <w:sz w:val="18"/>
          <w:szCs w:val="18"/>
        </w:rPr>
        <w:t xml:space="preserve">The financial record is one of genuine top-line momentum on a structurally thin margin. Turnover has compounded at 31.0% a year since FY 2022–23, with a dip in FY 2024–25 followed by a near doubling in FY 2025–26. Profitability has not improved with scale: the operating margin has been pinned near 4% for three years and the true gross margin after direct labour is between 10% and 12%, which is what one would expect of an assembler that buys a commodity input and sells to price-sensitive dealers. Growth has consumed cash rather than generated it — free cash flow in FY 2025–26 was negative Rs. 104.84 lakh, absorbed almost entirely by a Rs. 280.55 lakh inventory build and Rs. 72.87 lakh of capital expenditure, funded by stretched supplier credit and Rs. 110.42 lakh of new third-party unsecured borrowing. The confirmed order book of Rs. 284.87 lakh covers only 5.7% of the management revenue projection, though for a dealer-led consumables business that measure understates continuity; the better evidence is that the same customer names recur across years in both the ledger and the bank statements.</w:t>
      </w:r>
    </w:p>
    <w:p>
      <w:pPr>
        <w:spacing w:after="80" w:before="80"/>
        <w:jc w:val="both"/>
      </w:pPr>
      <w:r>
        <w:rPr>
          <w:rFonts w:ascii="Arial" w:cs="Arial" w:eastAsia="Arial" w:hAnsi="Arial"/>
          <w:b w:val="false"/>
          <w:bCs w:val="false"/>
          <w:i w:val="false"/>
          <w:iCs w:val="false"/>
          <w:color w:val="000000"/>
          <w:sz w:val="18"/>
          <w:szCs w:val="18"/>
        </w:rPr>
        <w:t xml:space="preserve">The proposal is a revolving working capital loan of Rs. 100 lakh at 15.00% fixed, drawn in 30-to-120 day tranches repaid bullet, secured by a first-ranking pari passu charge on current assets alongside Bank of India, 10% cash collateral, four personal guarantees and undated cheques. The structural protections that matter most are the short self-liquidating tranche tenor, which lets Evam stop revolving within one cycle, and the drawdown discipline recommended in Section 11.</w:t>
      </w:r>
    </w:p>
    <w:p>
      <w:pPr>
        <w:pStyle w:val="Heading2"/>
        <w:spacing w:after="80" w:before="160"/>
        <w:jc w:val="left"/>
      </w:pPr>
      <w:r>
        <w:rPr>
          <w:rFonts w:ascii="Arial" w:cs="Arial" w:eastAsia="Arial" w:hAnsi="Arial"/>
          <w:b/>
          <w:bCs/>
          <w:color w:val="2E75B6"/>
          <w:sz w:val="22"/>
          <w:szCs w:val="22"/>
        </w:rPr>
        <w:t xml:space="preserve">Financial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Particulars (Rs. lakh)</w:t>
            </w:r>
          </w:p>
        </w:tc>
        <w:tc>
          <w:tcPr>
            <w:tcW w:type="dxa" w:w="14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FY23 (A)</w:t>
            </w:r>
          </w:p>
        </w:tc>
        <w:tc>
          <w:tcPr>
            <w:tcW w:type="dxa" w:w="14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FY24 (A)</w:t>
            </w:r>
          </w:p>
        </w:tc>
        <w:tc>
          <w:tcPr>
            <w:tcW w:type="dxa" w:w="14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FY25 (A)</w:t>
            </w:r>
          </w:p>
        </w:tc>
        <w:tc>
          <w:tcPr>
            <w:tcW w:type="dxa" w:w="14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FY26 (P)</w:t>
            </w:r>
          </w:p>
        </w:tc>
        <w:tc>
          <w:tcPr>
            <w:tcW w:type="dxa" w:w="14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FY27 (E)</w:t>
            </w:r>
          </w:p>
        </w:tc>
      </w:tr>
      <w:tr>
        <w:trPr>
          <w:tblHeader w:val="false"/>
        </w:trPr>
        <w:tc>
          <w:tcPr>
            <w:tcW w:type="dxa" w:w="19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Net Sales</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1,371.7</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1,843.6</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1,605.1</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3,080.7</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5,040.0</w:t>
            </w:r>
          </w:p>
        </w:tc>
      </w:tr>
      <w:tr>
        <w:trPr>
          <w:tblHeader w:val="false"/>
        </w:trPr>
        <w:tc>
          <w:tcPr>
            <w:tcW w:type="dxa" w:w="19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PBDIT</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17.4</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66.2</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64.1</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123.3</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196.7</w:t>
            </w:r>
          </w:p>
        </w:tc>
      </w:tr>
      <w:tr>
        <w:trPr>
          <w:tblHeader w:val="false"/>
        </w:trPr>
        <w:tc>
          <w:tcPr>
            <w:tcW w:type="dxa" w:w="19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PBDIT margin (%)</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4.0</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4.0</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3.9</w:t>
            </w:r>
          </w:p>
        </w:tc>
      </w:tr>
      <w:tr>
        <w:trPr>
          <w:tblHeader w:val="false"/>
        </w:trPr>
        <w:tc>
          <w:tcPr>
            <w:tcW w:type="dxa" w:w="19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PAT (as reported)</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5.3</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26.1</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19.0</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76.9</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100.8</w:t>
            </w:r>
          </w:p>
        </w:tc>
      </w:tr>
      <w:tr>
        <w:trPr>
          <w:tblHeader w:val="false"/>
        </w:trPr>
        <w:tc>
          <w:tcPr>
            <w:tcW w:type="dxa" w:w="19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TNW</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28.4</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68.1</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77.4</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181.0</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281.8</w:t>
            </w:r>
          </w:p>
        </w:tc>
      </w:tr>
      <w:tr>
        <w:trPr>
          <w:tblHeader w:val="false"/>
        </w:trPr>
        <w:tc>
          <w:tcPr>
            <w:tcW w:type="dxa" w:w="19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Adjusted TNW</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28.4</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68.1</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77.4</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175.4</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276.2</w:t>
            </w:r>
          </w:p>
        </w:tc>
      </w:tr>
      <w:tr>
        <w:trPr>
          <w:tblHeader w:val="false"/>
        </w:trPr>
        <w:tc>
          <w:tcPr>
            <w:tcW w:type="dxa" w:w="19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Cash Accruals (as reported)</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14.7</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42.2</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36.2</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99.5</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132.4</w:t>
            </w:r>
          </w:p>
        </w:tc>
      </w:tr>
      <w:tr>
        <w:trPr>
          <w:tblHeader w:val="false"/>
        </w:trPr>
        <w:tc>
          <w:tcPr>
            <w:tcW w:type="dxa" w:w="19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Debt</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192.2</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128.4</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230.1</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320.7</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714.4</w:t>
            </w:r>
          </w:p>
        </w:tc>
      </w:tr>
      <w:tr>
        <w:trPr>
          <w:tblHeader w:val="false"/>
        </w:trPr>
        <w:tc>
          <w:tcPr>
            <w:tcW w:type="dxa" w:w="19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Debt / Adj. TNW (x)</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6.76</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1.89</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2.97</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1.83</w:t>
            </w:r>
          </w:p>
        </w:tc>
        <w:tc>
          <w:tcPr>
            <w:tcW w:type="dxa" w:w="14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2.59</w:t>
            </w:r>
          </w:p>
        </w:tc>
      </w:tr>
      <w:tr>
        <w:trPr>
          <w:tblHeader w:val="false"/>
        </w:trPr>
        <w:tc>
          <w:tcPr>
            <w:tcW w:type="dxa" w:w="19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Current Ratio (x)</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1.01</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1.08</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1.09</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1.10</w:t>
            </w:r>
          </w:p>
        </w:tc>
        <w:tc>
          <w:tcPr>
            <w:tcW w:type="dxa" w:w="14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1.08</w:t>
            </w:r>
          </w:p>
        </w:tc>
      </w:tr>
    </w:tbl>
    <w:p>
      <w:pPr>
        <w:spacing w:after="80" w:before="80"/>
        <w:jc w:val="both"/>
      </w:pPr>
      <w:r>
        <w:rPr>
          <w:rFonts w:ascii="Arial" w:cs="Arial" w:eastAsia="Arial" w:hAnsi="Arial"/>
          <w:b w:val="false"/>
          <w:bCs w:val="false"/>
          <w:i/>
          <w:iCs/>
          <w:color w:val="000000"/>
          <w:sz w:val="18"/>
          <w:szCs w:val="18"/>
        </w:rPr>
        <w:t xml:space="preserve">(A) audited, (P) provisional, (E) management estimate. Ratios self-computed per the locked formula set; they differ in places from the ratios in the borrower's CMA, and those differences are explained in Section 5.</w:t>
      </w:r>
    </w:p>
    <w:p>
      <w:pPr>
        <w:pStyle w:val="Heading2"/>
        <w:spacing w:after="80" w:before="160"/>
        <w:jc w:val="left"/>
      </w:pPr>
      <w:r>
        <w:rPr>
          <w:rFonts w:ascii="Arial" w:cs="Arial" w:eastAsia="Arial" w:hAnsi="Arial"/>
          <w:b/>
          <w:bCs/>
          <w:color w:val="2E75B6"/>
          <w:sz w:val="22"/>
          <w:szCs w:val="22"/>
        </w:rPr>
        <w:t xml:space="preserve">Credit Thesis</w:t>
      </w:r>
    </w:p>
    <w:p>
      <w:pPr>
        <w:spacing w:after="80" w:before="80"/>
        <w:jc w:val="both"/>
      </w:pPr>
      <w:r>
        <w:rPr>
          <w:rFonts w:ascii="Arial" w:cs="Arial" w:eastAsia="Arial" w:hAnsi="Arial"/>
          <w:b/>
          <w:bCs/>
          <w:i w:val="false"/>
          <w:iCs w:val="false"/>
          <w:color w:val="000000"/>
          <w:sz w:val="18"/>
          <w:szCs w:val="18"/>
        </w:rPr>
        <w:t xml:space="preserve">This is a fundable credit, but on the Analyst Base Case rather than on management projections. </w:t>
      </w:r>
      <w:r>
        <w:rPr>
          <w:rFonts w:ascii="Arial" w:cs="Arial" w:eastAsia="Arial" w:hAnsi="Arial"/>
          <w:b w:val="false"/>
          <w:bCs w:val="false"/>
          <w:i w:val="false"/>
          <w:iCs w:val="false"/>
          <w:color w:val="000000"/>
          <w:sz w:val="18"/>
          <w:szCs w:val="18"/>
        </w:rPr>
        <w:t xml:space="preserve">The revenue is verifiably real — GST outward supplies match reported sales to the rupee in both audited years, and bank credits equal 95.9% of GST-inclusive billings — and the assessment-year DSCR holds at 1.59 times even after capping growth at 15% and providing for the income tax the firm has never booked. A revolving facility with 30-to-120 day self-liquidating tranches is the right instrument for a business whose cash cycle is 49.7 days.</w:t>
      </w:r>
    </w:p>
    <w:p>
      <w:pPr>
        <w:spacing w:after="80" w:before="80"/>
        <w:jc w:val="both"/>
      </w:pPr>
      <w:r>
        <w:rPr>
          <w:rFonts w:ascii="Arial" w:cs="Arial" w:eastAsia="Arial" w:hAnsi="Arial"/>
          <w:b/>
          <w:bCs/>
          <w:i w:val="false"/>
          <w:iCs w:val="false"/>
          <w:color w:val="000000"/>
          <w:sz w:val="18"/>
          <w:szCs w:val="18"/>
        </w:rPr>
        <w:t xml:space="preserve">The three concerns that must gate the sanction are: </w:t>
      </w:r>
      <w:r>
        <w:rPr>
          <w:rFonts w:ascii="Arial" w:cs="Arial" w:eastAsia="Arial" w:hAnsi="Arial"/>
          <w:b w:val="false"/>
          <w:bCs w:val="false"/>
          <w:i w:val="false"/>
          <w:iCs w:val="false"/>
          <w:color w:val="000000"/>
          <w:sz w:val="18"/>
          <w:szCs w:val="18"/>
        </w:rPr>
        <w:t xml:space="preserve">first, an undisclosed private limited company of near-identical name owned by the same four partners and publicly associated with the same brand, against a CMA that declares every related-party balance as nil; second, Rs. 110.42 lakh of unsecured borrowing that appeared in a single year and traces to capital-named counterparties and individuals rather than institutions; and third, an inventory position of Rs. 461.76 lakh that is 67.7% of current assets, has grown faster than sales for two years running, and constitutes almost the whole of Evam's security.</w:t>
      </w:r>
    </w:p>
    <w:p>
      <w:pPr>
        <w:pStyle w:val="Heading1"/>
        <w:pageBreakBefore/>
        <w:spacing w:after="120" w:before="160"/>
        <w:jc w:val="left"/>
      </w:pPr>
      <w:r>
        <w:rPr>
          <w:rFonts w:ascii="Arial" w:cs="Arial" w:eastAsia="Arial" w:hAnsi="Arial"/>
          <w:b/>
          <w:bCs/>
          <w:color w:val="1F3864"/>
          <w:sz w:val="26"/>
          <w:szCs w:val="26"/>
        </w:rPr>
        <w:t xml:space="preserve">SECTION 2: MANAGEMENT PROFILE</w:t>
      </w:r>
    </w:p>
    <w:p>
      <w:pPr>
        <w:spacing w:after="80" w:before="80"/>
        <w:jc w:val="both"/>
      </w:pPr>
      <w:r>
        <w:rPr>
          <w:rFonts w:ascii="Arial" w:cs="Arial" w:eastAsia="Arial" w:hAnsi="Arial"/>
          <w:b w:val="false"/>
          <w:bCs w:val="false"/>
          <w:i w:val="false"/>
          <w:iCs w:val="false"/>
          <w:color w:val="000000"/>
          <w:sz w:val="18"/>
          <w:szCs w:val="18"/>
        </w:rPr>
        <w:t xml:space="preserve">The firm was constituted on 08-Mar-2021 by four partners who were then aged between 22 and 23. All four are working partners with equal 25% profit shares. There is no outside investor, no professional chief executive and no non-family board; the four of them are the management.</w:t>
      </w:r>
    </w:p>
    <w:p>
      <w:pPr>
        <w:pStyle w:val="Heading2"/>
        <w:spacing w:after="80" w:before="160"/>
        <w:jc w:val="left"/>
      </w:pPr>
      <w:r>
        <w:rPr>
          <w:rFonts w:ascii="Arial" w:cs="Arial" w:eastAsia="Arial" w:hAnsi="Arial"/>
          <w:b/>
          <w:bCs/>
          <w:color w:val="2E75B6"/>
          <w:sz w:val="22"/>
          <w:szCs w:val="22"/>
        </w:rPr>
        <w:t xml:space="preserve">Mr. Gowrisankar Shivrane — Partner (First Partner under the Deed)</w:t>
      </w:r>
    </w:p>
    <w:p>
      <w:pPr>
        <w:spacing w:after="80" w:before="80"/>
        <w:jc w:val="both"/>
      </w:pPr>
      <w:r>
        <w:rPr>
          <w:rFonts w:ascii="Arial" w:cs="Arial" w:eastAsia="Arial" w:hAnsi="Arial"/>
          <w:b w:val="false"/>
          <w:bCs w:val="false"/>
          <w:i w:val="false"/>
          <w:iCs w:val="false"/>
          <w:color w:val="000000"/>
          <w:sz w:val="18"/>
          <w:szCs w:val="18"/>
        </w:rPr>
        <w:t xml:space="preserve">Son of D. Gowrisankar, resident of Gobichettipalayam in Erode district, aged 29. He is described in public sources as the Managing Partner and is the largest contributor of capital, holding Rs. 54.06 lakh of the Rs. 104.12 lakh partner capital account at 31-Mar-2026, which is 51.9% of the firm's funded equity against a 25% profit entitlement — a deliberate over-funding of the business relative to his share of its profits, and the clearest single indicator of commitment in the file. His declared personal net worth is the highest of the four at Rs. 149.93 lakh. No education record, prior employer or technical qualification is stated in the company profile or traceable on LinkedIn, and the documents do not establish what he did before 2021.</w:t>
      </w:r>
    </w:p>
    <w:p>
      <w:pPr>
        <w:pStyle w:val="Heading2"/>
        <w:spacing w:after="80" w:before="160"/>
        <w:jc w:val="left"/>
      </w:pPr>
      <w:r>
        <w:rPr>
          <w:rFonts w:ascii="Arial" w:cs="Arial" w:eastAsia="Arial" w:hAnsi="Arial"/>
          <w:b/>
          <w:bCs/>
          <w:color w:val="2E75B6"/>
          <w:sz w:val="22"/>
          <w:szCs w:val="22"/>
        </w:rPr>
        <w:t xml:space="preserve">Mr. S. Aravind Siddharth — Partner</w:t>
      </w:r>
    </w:p>
    <w:p>
      <w:pPr>
        <w:spacing w:after="80" w:before="80"/>
        <w:jc w:val="both"/>
      </w:pPr>
      <w:r>
        <w:rPr>
          <w:rFonts w:ascii="Arial" w:cs="Arial" w:eastAsia="Arial" w:hAnsi="Arial"/>
          <w:b w:val="false"/>
          <w:bCs w:val="false"/>
          <w:i w:val="false"/>
          <w:iCs w:val="false"/>
          <w:color w:val="000000"/>
          <w:sz w:val="18"/>
          <w:szCs w:val="18"/>
        </w:rPr>
        <w:t xml:space="preserve">Son of S. Sathiyamoorthi, resident of Nambiyur in Erode district, aged 27. He is the partner who signs the financial statements and the tax computations on behalf of the firm, which in a four-partner working arrangement usually indicates the finance and compliance role, and he is the signatory the auditor deals with. He holds Rs. 22.71 lakh of partner capital. His declared net worth of Rs. 137.50 lakh is the second highest, though see the caveat below on how it is constructed. As with the other partners, no professional background is documented.</w:t>
      </w:r>
    </w:p>
    <w:p>
      <w:pPr>
        <w:pStyle w:val="Heading2"/>
        <w:spacing w:after="80" w:before="160"/>
        <w:jc w:val="left"/>
      </w:pPr>
      <w:r>
        <w:rPr>
          <w:rFonts w:ascii="Arial" w:cs="Arial" w:eastAsia="Arial" w:hAnsi="Arial"/>
          <w:b/>
          <w:bCs/>
          <w:color w:val="2E75B6"/>
          <w:sz w:val="22"/>
          <w:szCs w:val="22"/>
        </w:rPr>
        <w:t xml:space="preserve">Mr. A.B. Siddhaarth — Partner</w:t>
      </w:r>
    </w:p>
    <w:p>
      <w:pPr>
        <w:spacing w:after="80" w:before="80"/>
        <w:jc w:val="both"/>
      </w:pPr>
      <w:r>
        <w:rPr>
          <w:rFonts w:ascii="Arial" w:cs="Arial" w:eastAsia="Arial" w:hAnsi="Arial"/>
          <w:b w:val="false"/>
          <w:bCs w:val="false"/>
          <w:i w:val="false"/>
          <w:iCs w:val="false"/>
          <w:color w:val="000000"/>
          <w:sz w:val="18"/>
          <w:szCs w:val="18"/>
        </w:rPr>
        <w:t xml:space="preserve">Son of S.A. Balasubramaniam, resident of Vilankurichi, Coimbatore, aged 28. His capital contribution of Rs. 7.91 lakh is the smallest of the four and his declared net worth of Rs. 60.50 lakh is the lowest after gearing. The public scrub established that his father operates Pinnacle Power Systems, a Coimbatore firm that has been selling Pulze-branded packs on IndiaMart for seven years — longer than the borrower has existed. That is worth understanding properly rather than treating as an irregularity: it is plausible that the family's existing battery trading business is where the commercial knowledge and the early customer base came from. What is not acceptable is that the relationship appears nowhere in the submission.</w:t>
      </w:r>
    </w:p>
    <w:p>
      <w:pPr>
        <w:pStyle w:val="Heading2"/>
        <w:spacing w:after="80" w:before="160"/>
        <w:jc w:val="left"/>
      </w:pPr>
      <w:r>
        <w:rPr>
          <w:rFonts w:ascii="Arial" w:cs="Arial" w:eastAsia="Arial" w:hAnsi="Arial"/>
          <w:b/>
          <w:bCs/>
          <w:color w:val="2E75B6"/>
          <w:sz w:val="22"/>
          <w:szCs w:val="22"/>
        </w:rPr>
        <w:t xml:space="preserve">Mr. Pranav S. Kumar — Partner</w:t>
      </w:r>
    </w:p>
    <w:p>
      <w:pPr>
        <w:spacing w:after="80" w:before="80"/>
        <w:jc w:val="both"/>
      </w:pPr>
      <w:r>
        <w:rPr>
          <w:rFonts w:ascii="Arial" w:cs="Arial" w:eastAsia="Arial" w:hAnsi="Arial"/>
          <w:b w:val="false"/>
          <w:bCs w:val="false"/>
          <w:i w:val="false"/>
          <w:iCs w:val="false"/>
          <w:color w:val="000000"/>
          <w:sz w:val="18"/>
          <w:szCs w:val="18"/>
        </w:rPr>
        <w:t xml:space="preserve">Son of Selvakumar, resident of P.N. Palayam, Coimbatore, aged 28. He holds Rs. 19.45 lakh of partner capital. His declared net worth of Rs. 60 lakh consists entirely of vehicles and jewellery with no immovable property and no liabilities, which makes his guarantee the least substantive of the four in enforcement terms even though it is unencumbered.</w:t>
      </w:r>
    </w:p>
    <w:p>
      <w:pPr>
        <w:pStyle w:val="Heading2"/>
        <w:spacing w:after="80" w:before="160"/>
        <w:jc w:val="left"/>
      </w:pPr>
      <w:r>
        <w:rPr>
          <w:rFonts w:ascii="Arial" w:cs="Arial" w:eastAsia="Arial" w:hAnsi="Arial"/>
          <w:b/>
          <w:bCs/>
          <w:color w:val="2E75B6"/>
          <w:sz w:val="22"/>
          <w:szCs w:val="22"/>
        </w:rPr>
        <w:t xml:space="preserve">Key Management Team</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No senior hires below partner level are named in any document — no plant head, quality head, finance controller or sales head is identified. For a firm turning over Rs. 30.81 crore with a claimed headcount of around fifty, the absence of any named second line is a genuine structural gap rather than an omission from the deck.</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The firm reports technical capability in battery management system development, phase-change thermal management and an IoT state-of-charge instrument built on an STM32 ARM Cortex-M7 platform. Work of that kind requires embedded engineers, but no engineering lead is named and no headcount split between production, engineering and sales is provided.</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No independent advisor, mentor or technical consultant is disclosed. The statutory auditor, Senthil Kumar and Sundararajan of Tirupur, has signed all four years and the UDINs are on record, which supports continuity of the reporting relationship.</w:t>
      </w:r>
    </w:p>
    <w:p>
      <w:pPr>
        <w:pStyle w:val="Heading2"/>
        <w:spacing w:after="80" w:before="160"/>
        <w:jc w:val="left"/>
      </w:pPr>
      <w:r>
        <w:rPr>
          <w:rFonts w:ascii="Arial" w:cs="Arial" w:eastAsia="Arial" w:hAnsi="Arial"/>
          <w:b/>
          <w:bCs/>
          <w:color w:val="2E75B6"/>
          <w:sz w:val="22"/>
          <w:szCs w:val="22"/>
        </w:rPr>
        <w:t xml:space="preserve">Promoter Skin in the Game</w:t>
      </w:r>
    </w:p>
    <w:p>
      <w:pPr>
        <w:spacing w:after="80" w:before="80"/>
        <w:jc w:val="both"/>
      </w:pPr>
      <w:r>
        <w:rPr>
          <w:rFonts w:ascii="Arial" w:cs="Arial" w:eastAsia="Arial" w:hAnsi="Arial"/>
          <w:b w:val="false"/>
          <w:bCs w:val="false"/>
          <w:i w:val="false"/>
          <w:iCs w:val="false"/>
          <w:color w:val="000000"/>
          <w:sz w:val="18"/>
          <w:szCs w:val="18"/>
        </w:rPr>
        <w:t xml:space="preserve">The partners began with Rs. 4 lakh between them and the capital account stood at Rs. 104.12 lakh five years later, before adding the current year's Rs. 76.87 lakh of profit. Reconstructing FY 2025–26 from successive balance sheets shows Rs. 26.75 lakh of net partner money going in during the year rather than coming out — at a point when the firm was absorbing Rs. 353 lakh into inventory and fixed assets, that direction of travel is meaningful.</w:t>
      </w:r>
    </w:p>
    <w:p>
      <w:pPr>
        <w:spacing w:after="80" w:before="80"/>
        <w:jc w:val="both"/>
      </w:pPr>
      <w:r>
        <w:rPr>
          <w:rFonts w:ascii="Arial" w:cs="Arial" w:eastAsia="Arial" w:hAnsi="Arial"/>
          <w:b w:val="false"/>
          <w:bCs w:val="false"/>
          <w:i w:val="false"/>
          <w:iCs w:val="false"/>
          <w:color w:val="000000"/>
          <w:sz w:val="18"/>
          <w:szCs w:val="18"/>
        </w:rPr>
        <w:t xml:space="preserve">Against that, drawings are substantial and rising. Partner remuneration was Rs. 16.37 lakh in FY 2022–23, Rs. 42.48 lakh in FY 2023–24, Rs. 36.98 lakh in FY 2024–25 and Rs. 48.00 lakh in FY 2025–26. In the latest year that is 62.4% of reported profit after remuneration and, on a four-way split, roughly Rs. 1 lakh per partner per month. For a partnership firm this is a legitimate and tax-efficient way to take income, and the level is not extravagant for four full-time working partners running a Rs. 31 crore business. The point for the committee is that it is a discretionary Rs. 48 lakh sitting in the cost base — which under stress is the first lever available, and which is why the monitoring conditions in Section 11 put a ceiling on it.</w:t>
      </w:r>
    </w:p>
    <w:p>
      <w:pPr>
        <w:pStyle w:val="Heading2"/>
        <w:spacing w:after="80" w:before="160"/>
        <w:jc w:val="left"/>
      </w:pPr>
      <w:r>
        <w:rPr>
          <w:rFonts w:ascii="Arial" w:cs="Arial" w:eastAsia="Arial" w:hAnsi="Arial"/>
          <w:b/>
          <w:bCs/>
          <w:color w:val="2E75B6"/>
          <w:sz w:val="22"/>
          <w:szCs w:val="22"/>
        </w:rPr>
        <w:t xml:space="preserve">Key-Man Risk</w:t>
      </w:r>
    </w:p>
    <w:p>
      <w:pPr>
        <w:spacing w:after="80" w:before="80"/>
        <w:jc w:val="both"/>
      </w:pPr>
      <w:r>
        <w:rPr>
          <w:rFonts w:ascii="Arial" w:cs="Arial" w:eastAsia="Arial" w:hAnsi="Arial"/>
          <w:b/>
          <w:bCs/>
          <w:i w:val="false"/>
          <w:iCs w:val="false"/>
          <w:color w:val="000000"/>
          <w:sz w:val="18"/>
          <w:szCs w:val="18"/>
        </w:rPr>
        <w:t xml:space="preserve">Assessed as High. </w:t>
      </w:r>
      <w:r>
        <w:rPr>
          <w:rFonts w:ascii="Arial" w:cs="Arial" w:eastAsia="Arial" w:hAnsi="Arial"/>
          <w:b w:val="false"/>
          <w:bCs w:val="false"/>
          <w:i w:val="false"/>
          <w:iCs w:val="false"/>
          <w:color w:val="000000"/>
          <w:sz w:val="18"/>
          <w:szCs w:val="18"/>
        </w:rPr>
        <w:t xml:space="preserve">Four partners of similar age, similar tenure and no documented prior experience, with no named second line, means the firm has four points of failure and no bench. The transmission is direct: the customer relationships that produce the recurring dealer revenue appear to be personally held — the bank statements show partners settling transport and loading charges by UPI from a Kotak account used as a petty imprest — so the departure or incapacity of any one partner would likely take a segment of the ledger with it. There is no key-man insurance disclosed and no succession or deadlock provision beyond the standard reconstitution clause in the deed. The mitigant available to Evam is not organisational but structural: joint and several guarantees from all four, so that no partner can walk away from the exposure, combined with a facility short enough to exit inside one cycle.</w:t>
      </w:r>
    </w:p>
    <w:p>
      <w:pPr>
        <w:spacing w:after="80" w:before="80"/>
        <w:jc w:val="both"/>
      </w:pPr>
      <w:r>
        <w:rPr>
          <w:rFonts w:ascii="Arial" w:cs="Arial" w:eastAsia="Arial" w:hAnsi="Arial"/>
          <w:b w:val="false"/>
          <w:bCs w:val="false"/>
          <w:i/>
          <w:iCs/>
          <w:color w:val="000000"/>
          <w:sz w:val="18"/>
          <w:szCs w:val="18"/>
        </w:rPr>
        <w:t xml:space="preserve">Overall assessment: this is a competent, hungry, first-generation promoter group that has built real distribution from nothing in five years and has put more capital in than its profit share requires. It is also an unverified one — not a single partner's education or prior employment can be corroborated from the file or from public sources, and the group has incorporated a same-name private limited company that it has not told us about. The commercial track record earns a facility; the governance record earns conditions.</w:t>
      </w:r>
    </w:p>
    <w:p>
      <w:pPr>
        <w:pStyle w:val="Heading2"/>
        <w:spacing w:after="80" w:before="160"/>
        <w:jc w:val="left"/>
      </w:pPr>
      <w:r>
        <w:rPr>
          <w:rFonts w:ascii="Arial" w:cs="Arial" w:eastAsia="Arial" w:hAnsi="Arial"/>
          <w:b/>
          <w:bCs/>
          <w:color w:val="2E75B6"/>
          <w:sz w:val="22"/>
          <w:szCs w:val="22"/>
        </w:rPr>
        <w:t xml:space="preserve">Partners and Credit Bureau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300"/>
        <w:gridCol w:w="1200"/>
        <w:gridCol w:w="1200"/>
        <w:gridCol w:w="1500"/>
        <w:gridCol w:w="1160"/>
      </w:tblGrid>
      <w:tr>
        <w:trPr>
          <w:tblHeader/>
        </w:trPr>
        <w:tc>
          <w:tcPr>
            <w:tcW w:type="dxa" w:w="21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Name</w:t>
            </w:r>
          </w:p>
        </w:tc>
        <w:tc>
          <w:tcPr>
            <w:tcW w:type="dxa" w:w="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Age</w:t>
            </w:r>
          </w:p>
        </w:tc>
        <w:tc>
          <w:tcPr>
            <w:tcW w:type="dxa" w:w="13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PAN</w:t>
            </w:r>
          </w:p>
        </w:tc>
        <w:tc>
          <w:tcPr>
            <w:tcW w:type="dxa" w:w="12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DIN</w:t>
            </w:r>
          </w:p>
        </w:tc>
        <w:tc>
          <w:tcPr>
            <w:tcW w:type="dxa" w:w="12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Designation</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CIBIL Score (Grade)</w:t>
            </w:r>
          </w:p>
        </w:tc>
        <w:tc>
          <w:tcPr>
            <w:tcW w:type="dxa" w:w="11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Beneficial Owner</w:t>
            </w:r>
          </w:p>
        </w:tc>
      </w:tr>
      <w:tr>
        <w:trPr>
          <w:tblHeader w:val="false"/>
        </w:trPr>
        <w:tc>
          <w:tcPr>
            <w:tcW w:type="dxa" w:w="21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Gowrisankar Shivrane</w:t>
            </w:r>
          </w:p>
        </w:tc>
        <w:tc>
          <w:tcPr>
            <w:tcW w:type="dxa" w:w="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29</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HHWPS8026Q</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Partner</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870 — Strong</w:t>
            </w:r>
          </w:p>
        </w:tc>
        <w:tc>
          <w:tcPr>
            <w:tcW w:type="dxa" w:w="1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Yes (25%)</w:t>
            </w:r>
          </w:p>
        </w:tc>
      </w:tr>
      <w:tr>
        <w:trPr>
          <w:tblHeader w:val="false"/>
        </w:trPr>
        <w:tc>
          <w:tcPr>
            <w:tcW w:type="dxa" w:w="21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Pranav S Kumar</w:t>
            </w:r>
          </w:p>
        </w:tc>
        <w:tc>
          <w:tcPr>
            <w:tcW w:type="dxa" w:w="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28</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FOAPP7375J</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Partner</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820 — Strong</w:t>
            </w:r>
          </w:p>
        </w:tc>
        <w:tc>
          <w:tcPr>
            <w:tcW w:type="dxa" w:w="11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Yes (25%)</w:t>
            </w:r>
          </w:p>
        </w:tc>
      </w:tr>
      <w:tr>
        <w:trPr>
          <w:tblHeader w:val="false"/>
        </w:trPr>
        <w:tc>
          <w:tcPr>
            <w:tcW w:type="dxa" w:w="21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Siddhaarth A B</w:t>
            </w:r>
          </w:p>
        </w:tc>
        <w:tc>
          <w:tcPr>
            <w:tcW w:type="dxa" w:w="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28</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KWDPS2099A</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Partner</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775 — Good</w:t>
            </w:r>
          </w:p>
        </w:tc>
        <w:tc>
          <w:tcPr>
            <w:tcW w:type="dxa" w:w="1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Yes (25%)</w:t>
            </w:r>
          </w:p>
        </w:tc>
      </w:tr>
      <w:tr>
        <w:trPr>
          <w:tblHeader w:val="false"/>
        </w:trPr>
        <w:tc>
          <w:tcPr>
            <w:tcW w:type="dxa" w:w="21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 Aravind Siddharth</w:t>
            </w:r>
          </w:p>
        </w:tc>
        <w:tc>
          <w:tcPr>
            <w:tcW w:type="dxa" w:w="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27</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CMXPA2679C</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Partner</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777 — Good</w:t>
            </w:r>
          </w:p>
        </w:tc>
        <w:tc>
          <w:tcPr>
            <w:tcW w:type="dxa" w:w="11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Yes (25%)</w:t>
            </w:r>
          </w:p>
        </w:tc>
      </w:tr>
    </w:tbl>
    <w:p>
      <w:pPr>
        <w:spacing w:after="80" w:before="80"/>
        <w:jc w:val="both"/>
      </w:pPr>
      <w:r>
        <w:rPr>
          <w:rFonts w:ascii="Arial" w:cs="Arial" w:eastAsia="Arial" w:hAnsi="Arial"/>
          <w:b w:val="false"/>
          <w:bCs w:val="false"/>
          <w:i/>
          <w:iCs/>
          <w:color w:val="000000"/>
          <w:sz w:val="18"/>
          <w:szCs w:val="18"/>
        </w:rPr>
        <w:t xml:space="preserve">The bureau position is one of the stronger features of this file. Two partners are above 800 and none is below 750, so no partner falls into the "acceptable and monitor" band, let alone the weak band. The DIN column reads not provided because the ITR-5 key-person schedule leaves it blank for all four — an omission that is itself notable, since all four are in fact directors of a private limited company and therefore hold DINs.</w:t>
      </w:r>
    </w:p>
    <w:p>
      <w:pPr>
        <w:pStyle w:val="Heading2"/>
        <w:spacing w:after="80" w:before="160"/>
        <w:jc w:val="left"/>
      </w:pPr>
      <w:r>
        <w:rPr>
          <w:rFonts w:ascii="Arial" w:cs="Arial" w:eastAsia="Arial" w:hAnsi="Arial"/>
          <w:b/>
          <w:bCs/>
          <w:color w:val="2E75B6"/>
          <w:sz w:val="22"/>
          <w:szCs w:val="22"/>
        </w:rPr>
        <w:t xml:space="preserve">Profit Sharing and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1700"/>
        <w:gridCol w:w="1760"/>
      </w:tblGrid>
      <w:tr>
        <w:trPr>
          <w:tblHeader/>
        </w:trPr>
        <w:tc>
          <w:tcPr>
            <w:tcW w:type="dxa" w:w="2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Partner</w:t>
            </w:r>
          </w:p>
        </w:tc>
        <w:tc>
          <w:tcPr>
            <w:tcW w:type="dxa" w:w="1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Profit Share</w:t>
            </w:r>
          </w:p>
        </w:tc>
        <w:tc>
          <w:tcPr>
            <w:tcW w:type="dxa" w:w="17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Initial Capital</w:t>
            </w:r>
          </w:p>
        </w:tc>
        <w:tc>
          <w:tcPr>
            <w:tcW w:type="dxa" w:w="17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Capital A/c 31-Mar-26</w:t>
            </w:r>
          </w:p>
        </w:tc>
        <w:tc>
          <w:tcPr>
            <w:tcW w:type="dxa" w:w="17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 of Capital</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Gowrisankar Shivrane</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54.1</w:t>
            </w:r>
          </w:p>
        </w:tc>
        <w:tc>
          <w:tcPr>
            <w:tcW w:type="dxa" w:w="1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51.9%</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 Aravind Siddharth</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w:t>
            </w:r>
          </w:p>
        </w:tc>
        <w:tc>
          <w:tcPr>
            <w:tcW w:type="dxa" w:w="1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22.7</w:t>
            </w:r>
          </w:p>
        </w:tc>
        <w:tc>
          <w:tcPr>
            <w:tcW w:type="dxa" w:w="1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21.8%</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Pranav S Kumar</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19.4</w:t>
            </w:r>
          </w:p>
        </w:tc>
        <w:tc>
          <w:tcPr>
            <w:tcW w:type="dxa" w:w="1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18.7%</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Siddhaarth A B</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w:t>
            </w:r>
          </w:p>
        </w:tc>
        <w:tc>
          <w:tcPr>
            <w:tcW w:type="dxa" w:w="1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7.9</w:t>
            </w:r>
          </w:p>
        </w:tc>
        <w:tc>
          <w:tcPr>
            <w:tcW w:type="dxa" w:w="1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7.6%</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4.0</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104.1</w:t>
            </w:r>
          </w:p>
        </w:tc>
        <w:tc>
          <w:tcPr>
            <w:tcW w:type="dxa" w:w="1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r>
    </w:tbl>
    <w:p>
      <w:pPr>
        <w:spacing w:after="80" w:before="80"/>
        <w:jc w:val="both"/>
      </w:pPr>
      <w:r>
        <w:rPr>
          <w:rFonts w:ascii="Arial" w:cs="Arial" w:eastAsia="Arial" w:hAnsi="Arial"/>
          <w:b w:val="false"/>
          <w:bCs w:val="false"/>
          <w:i/>
          <w:iCs/>
          <w:color w:val="000000"/>
          <w:sz w:val="18"/>
          <w:szCs w:val="18"/>
        </w:rPr>
        <w:t xml:space="preserve">Rs. lakh. Interest on capital is payable at 12% per annum under clause 5 of the deed. There is no share pledge — the constitution is a partnership firm, so no shares exist and no pledge is possible or required. The mismatch between profit shares and capital contributions is a live issue: Mr. Shivrane funds more than half the equity for a quarter of the profit, which is generous today and a potential source of partner friction later. Any reconstitution of the deed during the currency of the facility should require Evam's prior consent.</w:t>
      </w:r>
    </w:p>
    <w:p>
      <w:pPr>
        <w:pStyle w:val="Heading2"/>
        <w:spacing w:after="80" w:before="160"/>
        <w:jc w:val="left"/>
      </w:pPr>
      <w:r>
        <w:rPr>
          <w:rFonts w:ascii="Arial" w:cs="Arial" w:eastAsia="Arial" w:hAnsi="Arial"/>
          <w:b/>
          <w:bCs/>
          <w:color w:val="2E75B6"/>
          <w:sz w:val="22"/>
          <w:szCs w:val="22"/>
        </w:rPr>
        <w:t xml:space="preserve">Promoter Net Worth (self-declared, 20-Jul-2026)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400"/>
        <w:gridCol w:w="1260"/>
      </w:tblGrid>
      <w:tr>
        <w:trPr>
          <w:tblHeader/>
        </w:trPr>
        <w:tc>
          <w:tcPr>
            <w:tcW w:type="dxa" w:w="22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Partner</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Movable</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Immovable</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Total Assets</w:t>
            </w:r>
          </w:p>
        </w:tc>
        <w:tc>
          <w:tcPr>
            <w:tcW w:type="dxa" w:w="1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Liabilities</w:t>
            </w:r>
          </w:p>
        </w:tc>
        <w:tc>
          <w:tcPr>
            <w:tcW w:type="dxa" w:w="12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Net Worth</w:t>
            </w:r>
          </w:p>
        </w:tc>
      </w:tr>
      <w:tr>
        <w:trPr>
          <w:tblHeader w:val="false"/>
        </w:trPr>
        <w:tc>
          <w:tcPr>
            <w:tcW w:type="dxa" w:w="2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Gowrisankar Shivrane</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76.4</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176.4</w:t>
            </w:r>
          </w:p>
        </w:tc>
        <w:tc>
          <w:tcPr>
            <w:tcW w:type="dxa" w:w="1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26.5</w:t>
            </w:r>
          </w:p>
        </w:tc>
        <w:tc>
          <w:tcPr>
            <w:tcW w:type="dxa" w:w="12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149.9</w:t>
            </w:r>
          </w:p>
        </w:tc>
      </w:tr>
      <w:tr>
        <w:trPr>
          <w:tblHeader w:val="false"/>
        </w:trPr>
        <w:tc>
          <w:tcPr>
            <w:tcW w:type="dxa" w:w="2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 Aravind Siddharth</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20.0</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132.5</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152.5</w:t>
            </w:r>
          </w:p>
        </w:tc>
        <w:tc>
          <w:tcPr>
            <w:tcW w:type="dxa" w:w="1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15.0</w:t>
            </w:r>
          </w:p>
        </w:tc>
        <w:tc>
          <w:tcPr>
            <w:tcW w:type="dxa" w:w="12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137.5</w:t>
            </w:r>
          </w:p>
        </w:tc>
      </w:tr>
      <w:tr>
        <w:trPr>
          <w:tblHeader w:val="false"/>
        </w:trPr>
        <w:tc>
          <w:tcPr>
            <w:tcW w:type="dxa" w:w="2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Siddhaarth A B</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20.5</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130.0</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150.5</w:t>
            </w:r>
          </w:p>
        </w:tc>
        <w:tc>
          <w:tcPr>
            <w:tcW w:type="dxa" w:w="1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90.0</w:t>
            </w:r>
          </w:p>
        </w:tc>
        <w:tc>
          <w:tcPr>
            <w:tcW w:type="dxa" w:w="12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60.5</w:t>
            </w:r>
          </w:p>
        </w:tc>
      </w:tr>
      <w:tr>
        <w:trPr>
          <w:tblHeader w:val="false"/>
        </w:trPr>
        <w:tc>
          <w:tcPr>
            <w:tcW w:type="dxa" w:w="2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Pranav S Kumar</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60.0</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60.0</w:t>
            </w:r>
          </w:p>
        </w:tc>
        <w:tc>
          <w:tcPr>
            <w:tcW w:type="dxa" w:w="1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2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60.0</w:t>
            </w:r>
          </w:p>
        </w:tc>
      </w:tr>
      <w:tr>
        <w:trPr>
          <w:tblHeader w:val="false"/>
        </w:trPr>
        <w:tc>
          <w:tcPr>
            <w:tcW w:type="dxa" w:w="2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Aggregate</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176.9</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362.5</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539.4</w:t>
            </w:r>
          </w:p>
        </w:tc>
        <w:tc>
          <w:tcPr>
            <w:tcW w:type="dxa" w:w="1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131.5</w:t>
            </w:r>
          </w:p>
        </w:tc>
        <w:tc>
          <w:tcPr>
            <w:tcW w:type="dxa" w:w="12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407.9</w:t>
            </w:r>
          </w:p>
        </w:tc>
      </w:tr>
    </w:tbl>
    <w:p>
      <w:pPr>
        <w:spacing w:after="80" w:before="80"/>
        <w:jc w:val="both"/>
      </w:pPr>
      <w:r>
        <w:rPr>
          <w:rFonts w:ascii="Arial" w:cs="Arial" w:eastAsia="Arial" w:hAnsi="Arial"/>
          <w:b w:val="false"/>
          <w:bCs w:val="false"/>
          <w:i/>
          <w:iCs/>
          <w:color w:val="000000"/>
          <w:sz w:val="18"/>
          <w:szCs w:val="18"/>
        </w:rPr>
        <w:t xml:space="preserve">Rs. lakh, per the statements at Annexure 2 of each net worth declaration.</w:t>
      </w:r>
    </w:p>
    <w:p>
      <w:pPr>
        <w:spacing w:after="80" w:before="80"/>
        <w:jc w:val="both"/>
      </w:pPr>
      <w:r>
        <w:rPr>
          <w:rFonts w:ascii="Arial" w:cs="Arial" w:eastAsia="Arial" w:hAnsi="Arial"/>
          <w:b/>
          <w:bCs/>
          <w:i w:val="false"/>
          <w:iCs w:val="false"/>
          <w:color w:val="000000"/>
          <w:sz w:val="18"/>
          <w:szCs w:val="18"/>
        </w:rPr>
        <w:t xml:space="preserve">The headline aggregate of Rs. 407.93 lakh should not be read as guarantee cover of that amount, for three reasons. </w:t>
      </w:r>
      <w:r>
        <w:rPr>
          <w:rFonts w:ascii="Arial" w:cs="Arial" w:eastAsia="Arial" w:hAnsi="Arial"/>
          <w:b w:val="false"/>
          <w:bCs w:val="false"/>
          <w:i w:val="false"/>
          <w:iCs w:val="false"/>
          <w:color w:val="000000"/>
          <w:sz w:val="18"/>
          <w:szCs w:val="18"/>
        </w:rPr>
        <w:t xml:space="preserve">Roughly Rs. 168 lakh of the movable total is jewellery and vehicles — assets that are easy to declare, hard to attach and frequently pledged for gold loans. Every immovable property in the schedule is recorded as mortgaged, including Mr. Shivrane's Gobichettipalayam land carrying a market value of Rs. 100 lakh against a Rs. 50 lakh purchase price. And Mr. Aravind Siddharth's statement counts his 50% share of a house at Rs. 132.50 lakh while showing total liabilities of only Rs. 15 lakh, notwithstanding a mortgage of the order of Rs. 150 lakh recorded against that same property in his own schedule — so his net worth is overstated by something like Rs. 75 lakh once his share of that borrowing is recognised. The statements are unaudited, carry no valuation reports and are drafted on a SIDBI proforma. A realistic view of short-notice realisable support behind the four guarantees is Rs. 60–80 lakh, not Rs. 400 lakh, and the Section 11 conditions require independent valuation and encumbrance certificates before disbursement.</w:t>
      </w:r>
    </w:p>
    <w:p>
      <w:pPr>
        <w:pStyle w:val="Heading2"/>
        <w:spacing w:after="80" w:before="160"/>
        <w:jc w:val="left"/>
      </w:pPr>
      <w:r>
        <w:rPr>
          <w:rFonts w:ascii="Arial" w:cs="Arial" w:eastAsia="Arial" w:hAnsi="Arial"/>
          <w:b/>
          <w:bCs/>
          <w:color w:val="2E75B6"/>
          <w:sz w:val="22"/>
          <w:szCs w:val="22"/>
        </w:rPr>
        <w:t xml:space="preserve">Corporate Governance and Credit Bureau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Check</w:t>
            </w:r>
          </w:p>
        </w:tc>
        <w:tc>
          <w:tcPr>
            <w:tcW w:type="dxa" w:w="64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Status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CIBIL CMR (company)</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CMR-3 — Low risk on the A3.2 scale. No concerns. Consistent with the absence of cheque returns in the cash credit account and with GST filings that tie exactly to the books.</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Individual CIBIL</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Shivrane 870 (Strong); Pranav S Kumar 820 (Strong); Aravind Siddharth 777 (Good); Siddhaarth A B 775 (Good). No partner below 750.</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GST compliance</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GSTIN 33ABAFP0945L1Z9 active. Outward supplies declared in the ITR match audited sales exactly in FY24 and FY25. GST payable of Rs. 10.00 lakh was outstanding at 31-Mar-2025, and an ITC reversal and DRC-03 entries appear in FY26 — filings are being made but not always on time.</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Statutory dues — employee</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Tax computations disclose disallowances for late remittance of EPF and ESI in FY23, FY24 and FY25 (FY25: EPF Rs. 2.19 lakh, ESI Rs. 0.16 lakh), and a Rs. 2.33 lakh disallowance in FY23 for TDS not deducted. Amounts are small; the three-year pattern is a governance signal and should be raised in the management meeting.</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Litigation check</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ScoreMe Legal Report dated 27-Jul-2026 returns NIL cases against the firm across Supreme Court, High Court, eCourts, Consumer Courts, Tribunals, IBC, MCA and FIR databases, in all years. No partner-level litigation search was provided — that is a gap and should be closed before sanction.</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CDR / BIFR / IBC</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 reference traceable. NIL in the IBC module of the ScoreMe report.</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RBI defaulters / wilful defaulters</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 in the ScoreMe defaulters module as of 27-Jul-2026. To be independently re-verified at sanction per Annexure II.</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Adverse news</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 adverse media traceable on the firm or on any partner name. Equally, no positive coverage — no funding, award, contract or certification announcement — which is consistent with a business that has grown through trade relationships rather than publicity.</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Other directorships / interests — FLAGGED</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All four partners are directors of PINNACLE LITHIUM POWER PRIVATE LIMITED, CIN U46909TZ2023PTC029215, incorporated 20-Aug-2023 at RoC Coimbatore, status Active, authorised capital Rs. 15 lakh and paid-up Rs. 6 lakh, registered at No. 12A1 Ramar Kovil Street, R G Pudur, Sinniampalayam, Coimbatore 641062, classified under MCA as other non-specialised wholesale trade, and publicly recorded as the legal entity behind the Pulze Batteries brand. None of this is disclosed in any document supplied. Separately, Pinnacle Power Systems (GST 33AAXFP9452C1ZV, Coimbatore 641004), operated by Mr. Balasubramaniam S.A., the father of partner A.B. Siddhaarth, has been distributing Pulze-branded packs for seven years. The CMA declares related-party revenue, purchases, payables and receivables as nil throughout. That declaration cannot be accepted and is a condition precedent item.</w:t>
            </w:r>
          </w:p>
        </w:tc>
      </w:tr>
    </w:tbl>
    <w:p>
      <w:pPr>
        <w:pStyle w:val="Heading1"/>
        <w:pageBreakBefore/>
        <w:spacing w:after="120" w:before="160"/>
        <w:jc w:val="left"/>
      </w:pPr>
      <w:r>
        <w:rPr>
          <w:rFonts w:ascii="Arial" w:cs="Arial" w:eastAsia="Arial" w:hAnsi="Arial"/>
          <w:b/>
          <w:bCs/>
          <w:color w:val="1F3864"/>
          <w:sz w:val="26"/>
          <w:szCs w:val="26"/>
        </w:rPr>
        <w:t xml:space="preserve">SECTION 3: INDUSTRY ANALYSIS</w:t>
      </w:r>
    </w:p>
    <w:p>
      <w:pPr>
        <w:spacing w:after="80" w:before="80"/>
        <w:jc w:val="both"/>
      </w:pPr>
      <w:r>
        <w:rPr>
          <w:rFonts w:ascii="Arial" w:cs="Arial" w:eastAsia="Arial" w:hAnsi="Arial"/>
          <w:b w:val="false"/>
          <w:bCs w:val="false"/>
          <w:i w:val="false"/>
          <w:iCs w:val="false"/>
          <w:color w:val="000000"/>
          <w:sz w:val="18"/>
          <w:szCs w:val="18"/>
        </w:rPr>
        <w:t xml:space="preserve">India's lithium-ion battery market was estimated at USD 6.73 billion in 2026 and is forecast to reach USD 15.17 billion by 2031, a compound rate of 17.65% (Mordor Intelligence, report dated January 2026, accessed 29-Jul-2026). Within that, the specific segment this borrower serves — assembled electric-vehicle battery packs — is growing far faster off a smaller base, from roughly USD 2.78 billion in 2025 to a projected USD 16.32 billion by 2030 (MarqStats, April 2026). The policy scaffolding is substantial: the Production-Linked Incentive scheme for Advanced Chemistry Cells committed Rs. 18,100 crore, FAME-II cut upfront prices of electric two-wheelers and buses by as much as 30%, and grid-scale storage auctions run by SECI and NTPC have pushed levelised storage costs below Rs. 5 per kWh. For a lender the relevant inference is not that the market is large but that demand growth is policy-underwritten rather than cyclical, which lowers the probability of a demand shock inside a twelve-month facility tenor.</w:t>
      </w:r>
    </w:p>
    <w:p>
      <w:pPr>
        <w:spacing w:after="80" w:before="80"/>
        <w:jc w:val="both"/>
      </w:pPr>
      <w:r>
        <w:rPr>
          <w:rFonts w:ascii="Arial" w:cs="Arial" w:eastAsia="Arial" w:hAnsi="Arial"/>
          <w:b w:val="false"/>
          <w:bCs w:val="false"/>
          <w:i w:val="false"/>
          <w:iCs w:val="false"/>
          <w:color w:val="000000"/>
          <w:sz w:val="18"/>
          <w:szCs w:val="18"/>
        </w:rPr>
        <w:t xml:space="preserve">The more important structural fact for this borrower is that domestic cell manufacturing has not arrived. Against a PLI-ACC target of 50 GWh, only about 1.4 GWh — 2.8% — had been delivered by October 2025, all of it by Ola Electric, even though announced commitments including Tata Agratas and Reliance now exceed 150 GWh. The consequence is that cells remain overwhelmingly imported while pack assembly is already local, and that gap is precisely where third-party assemblers like this one live. It also cuts both ways. So long as cells are imported, the assembler's input cost is set in dollars by Chinese suppliers and the assembler competes on engineering, service and lead time rather than on materials. Once Exide Energy Solutions' 6 GWh Bengaluru plant and Amara Raja's ARACT lines begin commercial supply — cylindrical cell samples were expected from around May 2026 — those integrated players acquire a cost advantage in finished packs that a buy-and-assemble operator cannot match. The window in which independent assembly earns a decent return is open now and is not permanent, which argues for a short facility tenor and against building a long-dated exposure on today's margin.</w:t>
      </w:r>
    </w:p>
    <w:p>
      <w:pPr>
        <w:spacing w:after="80" w:before="80"/>
        <w:jc w:val="both"/>
      </w:pPr>
      <w:r>
        <w:rPr>
          <w:rFonts w:ascii="Arial" w:cs="Arial" w:eastAsia="Arial" w:hAnsi="Arial"/>
          <w:b w:val="false"/>
          <w:bCs w:val="false"/>
          <w:i w:val="false"/>
          <w:iCs w:val="false"/>
          <w:color w:val="000000"/>
          <w:sz w:val="18"/>
          <w:szCs w:val="18"/>
        </w:rPr>
        <w:t xml:space="preserve">Chemistry mix matters to the risk profile. Lithium iron phosphate is displacing nickel-manganese-cobalt across mass-market applications, offering roughly a 30% cost advantage, thermal stability to 250–270 degrees Celsius and 5,000 to 6,000 cycles; LFP is forecast to expand at 27.1% a year to 2031 while NMC held 33.3% of 2025 revenue and is losing share. This borrower produces both, and every line in its confirmed order book is LFP, which places it on the right side of the chemistry shift. The segment it sells most into — large-format packs above 60,000 mAh — is also the fastest-growing capacity band at a projected 28.5% a year. Set against that, cell prices have been falling globally for two years, and falling input prices are a mixed blessing for an assembler: they improved this firm's material margin from 8.8% in FY 2022–23 to 21.0% in FY 2024–25, but they also mean the inventory on its balance sheet is a depreciating asset. That single dynamic explains both why the historical margin trend looks flatteringly good and why the Rs. 461.76 lakh stock position deserves scrutiny rather than comfort.</w:t>
      </w:r>
    </w:p>
    <w:p>
      <w:pPr>
        <w:spacing w:after="80" w:before="80"/>
        <w:jc w:val="both"/>
      </w:pPr>
      <w:r>
        <w:rPr>
          <w:rFonts w:ascii="Arial" w:cs="Arial" w:eastAsia="Arial" w:hAnsi="Arial"/>
          <w:b w:val="false"/>
          <w:bCs w:val="false"/>
          <w:i w:val="false"/>
          <w:iCs w:val="false"/>
          <w:color w:val="000000"/>
          <w:sz w:val="18"/>
          <w:szCs w:val="18"/>
        </w:rPr>
        <w:t xml:space="preserve">On benchmarking, the honest position must be stated plainly: there is no closely comparable listed peer in India for third-party lithium pack assembly. The two listed companies used below — Exide Industries and Amara Raja Energy &amp; Mobility — are lead-acid-dominant integrated manufacturers with gigafactory programmes and market capitalisations in the thousands of crores. They are directional proxies for what a mature battery business earns, not comparables for a Rs. 31 crore assembler, and the comparison should be read with that caveat firmly in place. Exide reported FY 2025–26 standalone revenue of Rs. 17,269 crore, EBITDA of Rs. 1,943 crore at an 11.3% margin, profit after tax of Rs. 1,111 crore at a 6.4% margin, return on capital employed of 28.8% and a zero-debt balance sheet. Amara Raja reported standalone revenue of Rs. 13,548.86 crore, profit after tax of Rs. 970.43 crore at a 7.2% margin, an operating margin excluding other income of 10.90% in the March quarter, and carries CRISIL AA+/Stable and A1+ ratings; its new energy business grew revenue 60% in the year. Both are therefore earning roughly 11% at the operating line where this borrower earns 4.0%. The gap is not a management failing so much as a description of where value sits in this chain — the integrated manufacturer captures the cell margin and the brand margin, the assembler captures neither.</w:t>
      </w:r>
    </w:p>
    <w:p>
      <w:pPr>
        <w:spacing w:after="80" w:before="80"/>
        <w:jc w:val="both"/>
      </w:pPr>
      <w:r>
        <w:rPr>
          <w:rFonts w:ascii="Arial" w:cs="Arial" w:eastAsia="Arial" w:hAnsi="Arial"/>
          <w:b w:val="false"/>
          <w:bCs w:val="false"/>
          <w:i w:val="false"/>
          <w:iCs w:val="false"/>
          <w:color w:val="000000"/>
          <w:sz w:val="18"/>
          <w:szCs w:val="18"/>
        </w:rPr>
        <w:t xml:space="preserve">The dynamic the committee is least likely to be tracking is margin compression at the top of the industry, and it is directly relevant here. Amara Raja's operating margin fell from 13.31% in September 2024 to 10.90% in the March 2026 quarter, and Exide absorbed a Rs. 150 crore gross-margin hit from a roughly five-fold rise in sulphur prices, which it met with price increases of 5–6% across channels. Companies with AA+ ratings, national brands and OEM contracts are struggling to hold price. A Coimbatore assembler selling to a hundred small dealers has materially less pricing power than either of them, so if input costs move against the industry, this borrower absorbs the squeeze rather than passing it on. Working capital comparison points the same way: both peers operate with meaningful negotiating leverage over suppliers, whereas this borrower funds 37.6 days of its cycle on supplier credit that could be withdrawn on a single missed payment. That, rather than demand, is the fragility to underwrite against.</w:t>
      </w:r>
    </w:p>
    <w:p>
      <w:pPr>
        <w:pStyle w:val="Heading1"/>
        <w:pageBreakBefore/>
        <w:spacing w:after="120" w:before="160"/>
        <w:jc w:val="left"/>
      </w:pPr>
      <w:r>
        <w:rPr>
          <w:rFonts w:ascii="Arial" w:cs="Arial" w:eastAsia="Arial" w:hAnsi="Arial"/>
          <w:b/>
          <w:bCs/>
          <w:color w:val="1F3864"/>
          <w:sz w:val="26"/>
          <w:szCs w:val="26"/>
        </w:rPr>
        <w:t xml:space="preserve">SECTION 4: BUSINESS MODEL ANALYSIS</w:t>
      </w:r>
    </w:p>
    <w:p>
      <w:pPr>
        <w:pStyle w:val="Heading2"/>
        <w:spacing w:after="80" w:before="160"/>
        <w:jc w:val="left"/>
      </w:pPr>
      <w:r>
        <w:rPr>
          <w:rFonts w:ascii="Arial" w:cs="Arial" w:eastAsia="Arial" w:hAnsi="Arial"/>
          <w:b/>
          <w:bCs/>
          <w:color w:val="2E75B6"/>
          <w:sz w:val="22"/>
          <w:szCs w:val="22"/>
        </w:rPr>
        <w:t xml:space="preserve">What Pinnacle Lithium Power Does and Sector Map</w:t>
      </w:r>
    </w:p>
    <w:p>
      <w:pPr>
        <w:spacing w:after="80" w:before="80"/>
        <w:jc w:val="both"/>
      </w:pPr>
      <w:r>
        <w:rPr>
          <w:rFonts w:ascii="Arial" w:cs="Arial" w:eastAsia="Arial" w:hAnsi="Arial"/>
          <w:b w:val="false"/>
          <w:bCs w:val="false"/>
          <w:i w:val="false"/>
          <w:iCs w:val="false"/>
          <w:color w:val="000000"/>
          <w:sz w:val="18"/>
          <w:szCs w:val="18"/>
        </w:rPr>
        <w:t xml:space="preserve">The firm buys lithium cells — cylindrical and prismatic, in NMC and LFP chemistries — and converts them into finished, application-specific battery packs: cells sorted and matched, spot-welded into modules, fitted with a battery management system, thermal management and connectors, and enclosed in an IP67-rated housing with a state-of-charge display where specified. It sells those packs under its own Pulze brand through two channels and does not manufacture cells or electronics silicon.</w:t>
      </w:r>
    </w:p>
    <w:p>
      <w:pPr>
        <w:spacing w:after="80" w:before="80"/>
        <w:jc w:val="both"/>
      </w:pPr>
      <w:r>
        <w:rPr>
          <w:rFonts w:ascii="Arial" w:cs="Arial" w:eastAsia="Arial" w:hAnsi="Arial"/>
          <w:b w:val="false"/>
          <w:bCs w:val="false"/>
          <w:i w:val="false"/>
          <w:iCs w:val="false"/>
          <w:color w:val="000000"/>
          <w:sz w:val="18"/>
          <w:szCs w:val="18"/>
        </w:rPr>
        <w:t xml:space="preserve">The documents do not provide a segment-wise revenue split, and this is the single largest analytical gap in the file. What can be established is the shape of the business from three independent records. The confirmed order book of Rs. 284.87 lakh is 100% large-format industrial LFP for material handling and rental fleets. The debtor ledger of Rs. 203.49 lakh across a hundred accounts is dominated by e-mobility dealers and motor agencies, with a scattering of solar, robotics and institutional names. Sixteen months of bank collections corroborate the ledger picture, with the largest recurring counterparties being dealer businesses. Reading those together, the recurring revenue base is the dealer channel and the industrial channel is the growth engine — but the proportions are an estimate, not a fact, and a split is the first item in the Question Bank.</w:t>
      </w:r>
    </w:p>
    <w:p>
      <w:pPr>
        <w:spacing w:after="80" w:before="80"/>
        <w:jc w:val="both"/>
      </w:pPr>
      <w:r>
        <w:rPr>
          <w:rFonts w:ascii="Arial" w:cs="Arial" w:eastAsia="Arial" w:hAnsi="Arial"/>
          <w:b w:val="false"/>
          <w:bCs w:val="false"/>
          <w:i w:val="false"/>
          <w:iCs w:val="false"/>
          <w:color w:val="000000"/>
          <w:sz w:val="18"/>
          <w:szCs w:val="18"/>
        </w:rPr>
        <w:t xml:space="preserve">On vintage, the firm has been in the two- and three-wheeler dealer business since inception in 2021, which is a five-year record. The industrial material-handling business is materially newer: every purchase order on file is dated June or July 2026, and the largest customers in that channel do not appear in the historical debtor ageing at anything like their order size. A five-year-old core carries different risk from a segment that is effectively one year old, and the growth in the projections rests on the newer one.</w:t>
      </w:r>
    </w:p>
    <w:p>
      <w:pPr>
        <w:pStyle w:val="Heading2"/>
        <w:spacing w:after="80" w:before="160"/>
        <w:jc w:val="left"/>
      </w:pPr>
      <w:r>
        <w:rPr>
          <w:rFonts w:ascii="Arial" w:cs="Arial" w:eastAsia="Arial" w:hAnsi="Arial"/>
          <w:b/>
          <w:bCs/>
          <w:color w:val="2E75B6"/>
          <w:sz w:val="22"/>
          <w:szCs w:val="22"/>
        </w:rPr>
        <w:t xml:space="preserve">Value Chain Position</w:t>
      </w:r>
    </w:p>
    <w:p>
      <w:pPr>
        <w:spacing w:after="80" w:before="80"/>
        <w:jc w:val="both"/>
      </w:pPr>
      <w:r>
        <w:rPr>
          <w:rFonts w:ascii="Arial" w:cs="Arial" w:eastAsia="Arial" w:hAnsi="Arial"/>
          <w:b w:val="false"/>
          <w:bCs w:val="false"/>
          <w:i w:val="false"/>
          <w:iCs w:val="false"/>
          <w:color w:val="000000"/>
          <w:sz w:val="18"/>
          <w:szCs w:val="18"/>
        </w:rPr>
        <w:t xml:space="preserve">Upstream sits a concentrated, import-dominated cell supply base. The payment records identify Qmax Ion Private Limited, Green Virtous Energy LLP, Trex Energy Private Limited, Aqueouss Solutions, Axiom Energy Conversion Limited, Nav Shakti Lithium Private Limited and Nsure Reliable Power Solutions as recipients of large payments, several of them single transfers of Rs. 25 lakh. Downstream sits a fragmented buyer base of small dealers with no individual leverage, plus a handful of industrial customers with a great deal of it.</w:t>
      </w:r>
    </w:p>
    <w:p>
      <w:pPr>
        <w:spacing w:after="80" w:before="80"/>
        <w:jc w:val="both"/>
      </w:pPr>
      <w:r>
        <w:rPr>
          <w:rFonts w:ascii="Arial" w:cs="Arial" w:eastAsia="Arial" w:hAnsi="Arial"/>
          <w:b w:val="false"/>
          <w:bCs w:val="false"/>
          <w:i w:val="false"/>
          <w:iCs w:val="false"/>
          <w:color w:val="000000"/>
          <w:sz w:val="18"/>
          <w:szCs w:val="18"/>
        </w:rPr>
        <w:t xml:space="preserve">Bargaining power therefore sits at both ends and not in the middle. The cell suppliers set the input price in a market where domestic supply barely exists; the industrial customers issue purchase orders against their own drawings and part numbers — the Haul order specifies drawing H3-BAT-ASP-03-A, a 500A daly BMS, a 320A DIN charger interface and CAN communication for state of charge. That is a customer-specified build, which makes the firm a price-taker executing to anchor specification on its largest order. Where it does hold something of its own is the dealer channel, where the Pulze brand, a national service network and its own state-of-charge instrument create a modest degree of stickiness with buyers too small to specify their own designs. The practical consequence for Evam is that the industrial business brings volume and order visibility at compressed margin, while the dealer business brings margin and granularity at higher collection effort — and the working capital facility funds both.</w:t>
      </w:r>
    </w:p>
    <w:p>
      <w:pPr>
        <w:spacing w:after="80" w:before="80"/>
        <w:jc w:val="both"/>
      </w:pPr>
      <w:r>
        <w:rPr>
          <w:rFonts w:ascii="Arial" w:cs="Arial" w:eastAsia="Arial" w:hAnsi="Arial"/>
          <w:b w:val="false"/>
          <w:bCs w:val="false"/>
          <w:i w:val="false"/>
          <w:iCs w:val="false"/>
          <w:color w:val="000000"/>
          <w:sz w:val="18"/>
          <w:szCs w:val="18"/>
        </w:rPr>
        <w:t xml:space="preserve">This maps directly onto the ecosystem bullets on page 1: the same concentration that limits the borrower's pricing power identifies, by name, upstream suppliers who need purchase-order finance and downstream dealers who need floor-plan finance.</w:t>
      </w:r>
    </w:p>
    <w:p>
      <w:pPr>
        <w:pStyle w:val="Heading2"/>
        <w:spacing w:after="80" w:before="160"/>
        <w:jc w:val="left"/>
      </w:pPr>
      <w:r>
        <w:rPr>
          <w:rFonts w:ascii="Arial" w:cs="Arial" w:eastAsia="Arial" w:hAnsi="Arial"/>
          <w:b/>
          <w:bCs/>
          <w:color w:val="2E75B6"/>
          <w:sz w:val="22"/>
          <w:szCs w:val="22"/>
        </w:rPr>
        <w:t xml:space="preserve">Manufacturing and Operational Footprint</w:t>
      </w:r>
    </w:p>
    <w:p>
      <w:pPr>
        <w:spacing w:after="80" w:before="80"/>
        <w:jc w:val="both"/>
      </w:pPr>
      <w:r>
        <w:rPr>
          <w:rFonts w:ascii="Arial" w:cs="Arial" w:eastAsia="Arial" w:hAnsi="Arial"/>
          <w:b w:val="false"/>
          <w:bCs w:val="false"/>
          <w:i w:val="false"/>
          <w:iCs w:val="false"/>
          <w:color w:val="000000"/>
          <w:sz w:val="18"/>
          <w:szCs w:val="18"/>
        </w:rPr>
        <w:t xml:space="preserve">One facility is documented, at 675/4A1 Part, Avinashi Main Road, Chinniyampalayam, Coimbatore, which is the address on the GST registration, the ITR, all four sets of financial statements and every purchase order. The company profile states a production capacity of 5 MWh per month "in each of the facility", implying more than one, and the FY 2024–25 trade payables schedule carries an entry for "Factory Rent – Saraswathi (Unit-1)", which implies a Unit 2. Rent of Rs. 12.84 lakh a year, or Rs. 1.07 lakh a month, is thin for two industrial premises in Coimbatore even at peri-urban rates. The number of units, their addresses and whether they are owned or leased are not established in the documents and must be confirmed on inspection.</w:t>
      </w:r>
    </w:p>
    <w:p>
      <w:pPr>
        <w:spacing w:after="80" w:before="80"/>
        <w:jc w:val="both"/>
      </w:pPr>
      <w:r>
        <w:rPr>
          <w:rFonts w:ascii="Arial" w:cs="Arial" w:eastAsia="Arial" w:hAnsi="Arial"/>
          <w:b/>
          <w:bCs/>
          <w:i w:val="false"/>
          <w:iCs w:val="false"/>
          <w:color w:val="000000"/>
          <w:sz w:val="18"/>
          <w:szCs w:val="18"/>
        </w:rPr>
        <w:t xml:space="preserve">Utilisation, derived. </w:t>
      </w:r>
      <w:r>
        <w:rPr>
          <w:rFonts w:ascii="Arial" w:cs="Arial" w:eastAsia="Arial" w:hAnsi="Arial"/>
          <w:b w:val="false"/>
          <w:bCs w:val="false"/>
          <w:i w:val="false"/>
          <w:iCs w:val="false"/>
          <w:color w:val="000000"/>
          <w:sz w:val="18"/>
          <w:szCs w:val="18"/>
        </w:rPr>
        <w:t xml:space="preserve">The order book allows a realisation per kWh to be calculated: pack energy is voltage multiplied by amp-hours, so the five order lines total 2,298.4 kWh for Rs. 241.42 lakh of base value, a blended Rs. 10,504 per kWh, with individual lines ranging from Rs. 10,000 (Haul, 73.6V 420Ah) to Rs. 11,794 (Mtandt, 25.6V 105Ah). Applying that to FY 2025–26 revenue implies output of about 29,328 kWh, or 29.3 MWh for the year, which is 2.44 MWh a month against a stated 5 MWh — roughly 48.9% utilisation on a single-facility basis, and half that if two facilities exist. The limitation is that this realisation is derived from large-format industrial packs and will overstate the price of small two-wheeler packs, so implied volume is a floor and utilisation an upper bound.</w:t>
      </w:r>
    </w:p>
    <w:p>
      <w:pPr>
        <w:spacing w:after="80" w:before="80"/>
        <w:jc w:val="both"/>
      </w:pPr>
      <w:r>
        <w:rPr>
          <w:rFonts w:ascii="Arial" w:cs="Arial" w:eastAsia="Arial" w:hAnsi="Arial"/>
          <w:b/>
          <w:bCs/>
          <w:i w:val="false"/>
          <w:iCs w:val="false"/>
          <w:color w:val="000000"/>
          <w:sz w:val="18"/>
          <w:szCs w:val="18"/>
        </w:rPr>
        <w:t xml:space="preserve">The credit conclusion from that derivation is favourable and worth stating clearly: </w:t>
      </w:r>
      <w:r>
        <w:rPr>
          <w:rFonts w:ascii="Arial" w:cs="Arial" w:eastAsia="Arial" w:hAnsi="Arial"/>
          <w:b w:val="false"/>
          <w:bCs w:val="false"/>
          <w:i w:val="false"/>
          <w:iCs w:val="false"/>
          <w:color w:val="000000"/>
          <w:sz w:val="18"/>
          <w:szCs w:val="18"/>
        </w:rPr>
        <w:t xml:space="preserve">management's FY 2026–27 revenue target implies roughly 48 MWh, or 4.0 MWh a month — about 80% of the stated capacity of a single unit. The projection is therefore not capacity-constrained and does not conceal an unfunded capital expenditure requirement, which is the classic hidden gap in a growth projection of this size. What the projection does require is working capital, which is exactly what is being asked for. That is a coherent story.</w:t>
      </w:r>
    </w:p>
    <w:p>
      <w:pPr>
        <w:spacing w:after="80" w:before="80"/>
        <w:jc w:val="both"/>
      </w:pPr>
      <w:r>
        <w:rPr>
          <w:rFonts w:ascii="Arial" w:cs="Arial" w:eastAsia="Arial" w:hAnsi="Arial"/>
          <w:b/>
          <w:bCs/>
          <w:i w:val="false"/>
          <w:iCs w:val="false"/>
          <w:color w:val="000000"/>
          <w:sz w:val="18"/>
          <w:szCs w:val="18"/>
        </w:rPr>
        <w:t xml:space="preserve">Capex intensity. </w:t>
      </w:r>
      <w:r>
        <w:rPr>
          <w:rFonts w:ascii="Arial" w:cs="Arial" w:eastAsia="Arial" w:hAnsi="Arial"/>
          <w:b w:val="false"/>
          <w:bCs w:val="false"/>
          <w:i w:val="false"/>
          <w:iCs w:val="false"/>
          <w:color w:val="000000"/>
          <w:sz w:val="18"/>
          <w:szCs w:val="18"/>
        </w:rPr>
        <w:t xml:space="preserve">The net block moved from Rs. 95.93 lakh to Rs. 146.21 lakh over FY 2025–26, implying capital expenditure of Rs. 72.87 lakh after adding back depreciation — a substantial year of spending, of which machinery accounts for Rs. 117.84 lakh of the closing block. Gross block to revenue is very low: the whole fixed asset base supports turnover roughly twenty-one times its size, confirming that this is an assembly operation rather than a capital-intensive manufacturer, and that the balance sheet risk sits in current assets rather than in plant. Asset age cannot be assessed because the Tally-generated statements disclose only the current year's depreciation reserve of Rs. 22.59 lakh and net asset values; gross block and accumulated depreciation are not disclosed in any year. That gap should be closed at the management meeting.</w:t>
      </w:r>
    </w:p>
    <w:p>
      <w:pPr>
        <w:spacing w:after="80" w:before="80"/>
        <w:jc w:val="both"/>
      </w:pPr>
      <w:r>
        <w:rPr>
          <w:rFonts w:ascii="Arial" w:cs="Arial" w:eastAsia="Arial" w:hAnsi="Arial"/>
          <w:b/>
          <w:bCs/>
          <w:i w:val="false"/>
          <w:iCs w:val="false"/>
          <w:color w:val="000000"/>
          <w:sz w:val="18"/>
          <w:szCs w:val="18"/>
        </w:rPr>
        <w:t xml:space="preserve">One presentational point deserves recording. </w:t>
      </w:r>
      <w:r>
        <w:rPr>
          <w:rFonts w:ascii="Arial" w:cs="Arial" w:eastAsia="Arial" w:hAnsi="Arial"/>
          <w:b w:val="false"/>
          <w:bCs w:val="false"/>
          <w:i w:val="false"/>
          <w:iCs w:val="false"/>
          <w:color w:val="000000"/>
          <w:sz w:val="18"/>
          <w:szCs w:val="18"/>
        </w:rPr>
        <w:t xml:space="preserve">The FY 2024–25 audited balance sheet classifies the entire Rs. 95.93 lakh fixed asset block under the heading "Intangible Assets" at note 8. The CMA preparer noticed this and annotated it as a misclassification, which it plainly is — the underlying assets are machinery, vehicles, furniture and computers. Only Rs. 5.60 lakh of software is genuinely intangible, and that is what has been deducted in arriving at adjusted tangible net worth. The error is presentational rather than substantive, but it indicates a level of care in the audited accounts that should temper reliance on their finer detail.</w:t>
      </w:r>
    </w:p>
    <w:p>
      <w:pPr>
        <w:pStyle w:val="Heading2"/>
        <w:spacing w:after="80" w:before="160"/>
        <w:jc w:val="left"/>
      </w:pPr>
      <w:r>
        <w:rPr>
          <w:rFonts w:ascii="Arial" w:cs="Arial" w:eastAsia="Arial" w:hAnsi="Arial"/>
          <w:b/>
          <w:bCs/>
          <w:color w:val="2E75B6"/>
          <w:sz w:val="22"/>
          <w:szCs w:val="22"/>
        </w:rPr>
        <w:t xml:space="preserve">Customers and Demand Quality</w:t>
      </w:r>
    </w:p>
    <w:p>
      <w:pPr>
        <w:spacing w:after="80" w:before="80"/>
        <w:jc w:val="both"/>
      </w:pPr>
      <w:r>
        <w:rPr>
          <w:rFonts w:ascii="Arial" w:cs="Arial" w:eastAsia="Arial" w:hAnsi="Arial"/>
          <w:b w:val="false"/>
          <w:bCs w:val="false"/>
          <w:i w:val="false"/>
          <w:iCs w:val="false"/>
          <w:color w:val="000000"/>
          <w:sz w:val="18"/>
          <w:szCs w:val="18"/>
        </w:rPr>
        <w:t xml:space="preserve">Named industrial customers with documented purchase orders are Haul Material Handling (Coimbatore, GSTIN 33AARFH8651F1Z1, purchase order 2627/PO/000076 dated 16-Jun-2026 for 45 packs), SRS Material Handling India Private Limited (Chennai, trading as Sriram Forklifters, purchase order SF/PO/0780/26-27 dated 09-Jul-2026 for 10 packs) and Mtandt Rentals Limited (75 packs across two lines). Zencore Enterprises accounts for the fourth order.</w:t>
      </w:r>
    </w:p>
    <w:p>
      <w:pPr>
        <w:spacing w:after="80" w:before="80"/>
        <w:jc w:val="both"/>
      </w:pPr>
      <w:r>
        <w:rPr>
          <w:rFonts w:ascii="Arial" w:cs="Arial" w:eastAsia="Arial" w:hAnsi="Arial"/>
          <w:b/>
          <w:bCs/>
          <w:i w:val="false"/>
          <w:iCs w:val="false"/>
          <w:color w:val="000000"/>
          <w:sz w:val="18"/>
          <w:szCs w:val="18"/>
        </w:rPr>
        <w:t xml:space="preserve">Repeat-order evidence is the strongest single argument in this file for demand durability, </w:t>
      </w:r>
      <w:r>
        <w:rPr>
          <w:rFonts w:ascii="Arial" w:cs="Arial" w:eastAsia="Arial" w:hAnsi="Arial"/>
          <w:b w:val="false"/>
          <w:bCs w:val="false"/>
          <w:i w:val="false"/>
          <w:iCs w:val="false"/>
          <w:color w:val="000000"/>
          <w:sz w:val="18"/>
          <w:szCs w:val="18"/>
        </w:rPr>
        <w:t xml:space="preserve">and it comes from cross-referencing three records rather than from any assertion. Haul Material Handling appears in the debtor ageing at Rs. 38.67 lakh, in the confirmed order book at Rs. 164.14 lakh, and in the Bank of India collection summary at Rs. 118.04 lakh across 36 separate receipts. SRS appears in all three as well. Mtandt appears in the debtor ledger, the order book and the bank statements. Beyond the industrial names, dealer counterparties recur month after month for sixteen consecutive months — Aruna Wheels LLP at Rs. 140.10 lakh across 62 receipts, Tera Equipments at Rs. 78.76 lakh across 73, Iyarkai Motors at Rs. 59.64 lakh across 108, Electro Motors across 47. A hundred debtor accounts and roughly 5,400 collection transactions in sixteen months is not a book that was assembled for a loan application.</w:t>
      </w:r>
    </w:p>
    <w:p>
      <w:pPr>
        <w:spacing w:after="80" w:before="80"/>
        <w:jc w:val="both"/>
      </w:pPr>
      <w:r>
        <w:rPr>
          <w:rFonts w:ascii="Arial" w:cs="Arial" w:eastAsia="Arial" w:hAnsi="Arial"/>
          <w:b/>
          <w:bCs/>
          <w:i w:val="false"/>
          <w:iCs w:val="false"/>
          <w:color w:val="000000"/>
          <w:sz w:val="18"/>
          <w:szCs w:val="18"/>
        </w:rPr>
        <w:t xml:space="preserve">Against that, the customer logo wall in the company profile does not survive verification. </w:t>
      </w:r>
      <w:r>
        <w:rPr>
          <w:rFonts w:ascii="Arial" w:cs="Arial" w:eastAsia="Arial" w:hAnsi="Arial"/>
          <w:b w:val="false"/>
          <w:bCs w:val="false"/>
          <w:i w:val="false"/>
          <w:iCs w:val="false"/>
          <w:color w:val="000000"/>
          <w:sz w:val="18"/>
          <w:szCs w:val="18"/>
        </w:rPr>
        <w:t xml:space="preserve">It displays Caterpillar, Volvo Construction Equipment, Qualcomm, TAFE, Saint-Gobain, PSG and Avatar Aviation among others. Robomania, Tylos Electric Vehicles, SFS Equipments, Taark, Techlair Automation, Sriram Forklifters and Craftsman Automation are all corroborated in the debtor ledger or the bank records. Caterpillar, Volvo CE, Qualcomm, TAFE, Saint-Gobain, PSG and Avatar Aviation appear in none of the debtor ageing, the order book or sixteen months of bank collections. The company claims these customer relationships; however, the financial records do not evidence them at any material value. This should be clarified in the management meeting, and the committee should discount the logo wall accordingly. It may well be that samples or one-off prototype orders were supplied — that is a very different thing from a customer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360"/>
      </w:tblGrid>
      <w:tr>
        <w:trPr>
          <w:tblHeader/>
        </w:trPr>
        <w:tc>
          <w:tcPr>
            <w:tcW w:type="dxa" w:w="2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Concentration measure</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Debtor book</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 of book</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Order book</w:t>
            </w:r>
          </w:p>
        </w:tc>
        <w:tc>
          <w:tcPr>
            <w:tcW w:type="dxa" w:w="23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 of book</w:t>
            </w:r>
          </w:p>
        </w:tc>
      </w:tr>
      <w:tr>
        <w:trPr>
          <w:tblHeader w:val="false"/>
        </w:trPr>
        <w:tc>
          <w:tcPr>
            <w:tcW w:type="dxa" w:w="2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Top 1</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38.67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19.0%</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164.14</w:t>
            </w:r>
          </w:p>
        </w:tc>
        <w:tc>
          <w:tcPr>
            <w:tcW w:type="dxa" w:w="23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57.6%</w:t>
            </w:r>
          </w:p>
        </w:tc>
      </w:tr>
      <w:tr>
        <w:trPr>
          <w:tblHeader w:val="false"/>
        </w:trPr>
        <w:tc>
          <w:tcPr>
            <w:tcW w:type="dxa" w:w="2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Top 3</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63.49</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31.2%</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252.29</w:t>
            </w:r>
          </w:p>
        </w:tc>
        <w:tc>
          <w:tcPr>
            <w:tcW w:type="dxa" w:w="23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88.5%</w:t>
            </w:r>
          </w:p>
        </w:tc>
      </w:tr>
      <w:tr>
        <w:trPr>
          <w:tblHeader w:val="false"/>
        </w:trPr>
        <w:tc>
          <w:tcPr>
            <w:tcW w:type="dxa" w:w="2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Top 5</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85.47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42.0%</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284.87</w:t>
            </w:r>
          </w:p>
        </w:tc>
        <w:tc>
          <w:tcPr>
            <w:tcW w:type="dxa" w:w="23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r>
      <w:tr>
        <w:trPr>
          <w:tblHeader w:val="false"/>
        </w:trPr>
        <w:tc>
          <w:tcPr>
            <w:tcW w:type="dxa" w:w="2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Top 10</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110.11</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54.1%</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c>
          <w:tcPr>
            <w:tcW w:type="dxa" w:w="23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r>
    </w:tbl>
    <w:p>
      <w:pPr>
        <w:spacing w:after="80" w:before="80"/>
        <w:jc w:val="both"/>
      </w:pPr>
      <w:r>
        <w:rPr>
          <w:rFonts w:ascii="Arial" w:cs="Arial" w:eastAsia="Arial" w:hAnsi="Arial"/>
          <w:b w:val="false"/>
          <w:bCs w:val="false"/>
          <w:i/>
          <w:iCs/>
          <w:color w:val="000000"/>
          <w:sz w:val="18"/>
          <w:szCs w:val="18"/>
        </w:rPr>
        <w:t xml:space="preserve">Rs. lakh. Debtor concentration is moderate for an MSME and is genuinely diversified below the top five. Order book concentration is extreme, with a single unrated partnership firm accounting for 57.6%. The two measures describe two different businesses, and the credit is better protected by the first than exposed by the second — provided drawdowns are not permitted to fund a single order concentration.</w:t>
      </w:r>
    </w:p>
    <w:p>
      <w:pPr>
        <w:spacing w:after="80" w:before="80"/>
        <w:jc w:val="both"/>
      </w:pPr>
      <w:r>
        <w:rPr>
          <w:rFonts w:ascii="Arial" w:cs="Arial" w:eastAsia="Arial" w:hAnsi="Arial"/>
          <w:b/>
          <w:bCs/>
          <w:i w:val="false"/>
          <w:iCs w:val="false"/>
          <w:color w:val="000000"/>
          <w:sz w:val="18"/>
          <w:szCs w:val="18"/>
        </w:rPr>
        <w:t xml:space="preserve">Anchor credit quality is the weak point. </w:t>
      </w:r>
      <w:r>
        <w:rPr>
          <w:rFonts w:ascii="Arial" w:cs="Arial" w:eastAsia="Arial" w:hAnsi="Arial"/>
          <w:b w:val="false"/>
          <w:bCs w:val="false"/>
          <w:i w:val="false"/>
          <w:iCs w:val="false"/>
          <w:color w:val="000000"/>
          <w:sz w:val="18"/>
          <w:szCs w:val="18"/>
        </w:rPr>
        <w:t xml:space="preserve">None of the four order-book customers carries a traceable credit rating from CRISIL, ICRA, CARE, India Ratings or Acuité as of 29-Jul-2026. Mtandt Rentals Limited is the most substantial — an unlisted public company incorporated in 2009 with Rs. 15.70 crore of paid-up capital and 663 employees — but it also carries open charges of Rs. 553.32 crore, the profile of a leveraged rental fleet, and its last filed balance sheet is for FY 2023–24. Haul Material Handling's GSTIN indicates a partnership firm, so the largest single order in the book sits with an unrated partnership. There is no government or PSU receivable anywhere in the ledger, which means the book contains none of the slow-but-certain paper that normally cushions an MSME receivable pool in a downturn.</w:t>
      </w:r>
    </w:p>
    <w:p>
      <w:pPr>
        <w:spacing w:after="80" w:before="80"/>
        <w:jc w:val="both"/>
      </w:pPr>
      <w:r>
        <w:rPr>
          <w:rFonts w:ascii="Arial" w:cs="Arial" w:eastAsia="Arial" w:hAnsi="Arial"/>
          <w:b/>
          <w:bCs/>
          <w:i w:val="false"/>
          <w:iCs w:val="false"/>
          <w:color w:val="000000"/>
          <w:sz w:val="18"/>
          <w:szCs w:val="18"/>
        </w:rPr>
        <w:t xml:space="preserve">Demand durability assessment: </w:t>
      </w:r>
      <w:r>
        <w:rPr>
          <w:rFonts w:ascii="Arial" w:cs="Arial" w:eastAsia="Arial" w:hAnsi="Arial"/>
          <w:b w:val="false"/>
          <w:bCs w:val="false"/>
          <w:i w:val="false"/>
          <w:iCs w:val="false"/>
          <w:color w:val="000000"/>
          <w:sz w:val="18"/>
          <w:szCs w:val="18"/>
        </w:rPr>
        <w:t xml:space="preserve">the dealer channel is quasi-annuity in character — small, frequent, repeat consumable purchases with observable payment behaviour over sixteen months — while the industrial channel is lumpy project supply against customer-specified drawings. That combination is healthier than either alone. Neither channel carries annual maintenance contracts, operations and maintenance income or any contracted recurring revenue, so there is no contractual floor beneath turnover; what there is instead is behavioural continuity, which is weaker but real.</w:t>
      </w:r>
    </w:p>
    <w:p>
      <w:pPr>
        <w:pStyle w:val="Heading2"/>
        <w:spacing w:after="80" w:before="160"/>
        <w:jc w:val="left"/>
      </w:pPr>
      <w:r>
        <w:rPr>
          <w:rFonts w:ascii="Arial" w:cs="Arial" w:eastAsia="Arial" w:hAnsi="Arial"/>
          <w:b/>
          <w:bCs/>
          <w:color w:val="2E75B6"/>
          <w:sz w:val="22"/>
          <w:szCs w:val="22"/>
        </w:rPr>
        <w:t xml:space="preserve">Suppliers and Input Dependence</w:t>
      </w:r>
    </w:p>
    <w:p>
      <w:pPr>
        <w:spacing w:after="80" w:before="80"/>
        <w:jc w:val="both"/>
      </w:pPr>
      <w:r>
        <w:rPr>
          <w:rFonts w:ascii="Arial" w:cs="Arial" w:eastAsia="Arial" w:hAnsi="Arial"/>
          <w:b w:val="false"/>
          <w:bCs w:val="false"/>
          <w:i w:val="false"/>
          <w:iCs w:val="false"/>
          <w:color w:val="000000"/>
          <w:sz w:val="18"/>
          <w:szCs w:val="18"/>
        </w:rPr>
        <w:t xml:space="preserve">The supplier base identified from payment records is domestic in name but import-linked in substance, since cells themselves are overwhelmingly imported and only about 2.8% of the PLI-ACC domestic cell target had been delivered by October 2025. Direct import exposure on the firm's own books is minimal — export sales were Rs. 11.43 lakh in FY 2025–26, or 0.4% of revenue — but the input price is dollar-denominated one step upstream, so rupee depreciation and freight disruption reach the cost line through the supplier rather than through the firm's own letters of credit. Concentration on any single supplier cannot be measured because a supplier-wise purchase schedule was not provided; the payment records show at least seven counterparties receiving substantial sums, which suggests the base is spread rather than single-sourced, but that is inference and not evidence.</w:t>
      </w:r>
    </w:p>
    <w:p>
      <w:pPr>
        <w:spacing w:after="80" w:before="80"/>
        <w:jc w:val="both"/>
      </w:pPr>
      <w:r>
        <w:rPr>
          <w:rFonts w:ascii="Arial" w:cs="Arial" w:eastAsia="Arial" w:hAnsi="Arial"/>
          <w:b/>
          <w:bCs/>
          <w:i w:val="false"/>
          <w:iCs w:val="false"/>
          <w:color w:val="000000"/>
          <w:sz w:val="18"/>
          <w:szCs w:val="18"/>
        </w:rPr>
        <w:t xml:space="preserve">Supplier credit is the quiet story in this balance sheet. </w:t>
      </w:r>
      <w:r>
        <w:rPr>
          <w:rFonts w:ascii="Arial" w:cs="Arial" w:eastAsia="Arial" w:hAnsi="Arial"/>
          <w:b w:val="false"/>
          <w:bCs w:val="false"/>
          <w:i w:val="false"/>
          <w:iCs w:val="false"/>
          <w:color w:val="000000"/>
          <w:sz w:val="18"/>
          <w:szCs w:val="18"/>
        </w:rPr>
        <w:t xml:space="preserve">Trade payables stand at 37.6 days of purchases, and over FY 2025–26 they rose by Rs. 158.70 lakh — which is to say suppliers financed almost half of the year's Rs. 353 lakh of inventory and capital expenditure absorption. That is cheap funding and it reflects standing in the trade, but it is also the most fragile liability on the balance sheet. It carries no contract, no tenor and no notice period; it can be withdrawn on a single missed payment. The transmission is immediate and quantifiable: a compression of creditor terms from 37.6 days to 20 days would withdraw roughly Rs. 135 lakh of funding — more than the entire facility being sought — and would have to be met by drawing Evam in full and finding another Rs. 35 lakh elsewhere. This is why the banking conduct evidence in Section 7 matters more than usual: the firm's clean cheque record in the cash credit account is what keeps that supplier credit in place.</w:t>
      </w:r>
    </w:p>
    <w:p>
      <w:pPr>
        <w:spacing w:after="80" w:before="80"/>
        <w:jc w:val="both"/>
      </w:pPr>
      <w:r>
        <w:rPr>
          <w:rFonts w:ascii="Arial" w:cs="Arial" w:eastAsia="Arial" w:hAnsi="Arial"/>
          <w:b/>
          <w:bCs/>
          <w:i w:val="false"/>
          <w:iCs w:val="false"/>
          <w:color w:val="000000"/>
          <w:sz w:val="18"/>
          <w:szCs w:val="18"/>
        </w:rPr>
        <w:t xml:space="preserve">One counterparty warrants specific enquiry. </w:t>
      </w:r>
      <w:r>
        <w:rPr>
          <w:rFonts w:ascii="Arial" w:cs="Arial" w:eastAsia="Arial" w:hAnsi="Arial"/>
          <w:b w:val="false"/>
          <w:bCs w:val="false"/>
          <w:i w:val="false"/>
          <w:iCs w:val="false"/>
          <w:color w:val="000000"/>
          <w:sz w:val="18"/>
          <w:szCs w:val="18"/>
        </w:rPr>
        <w:t xml:space="preserve">Carbon Compass Enterprises appears as a debtor at Rs. 5.08 lakh, as a trade creditor of Rs. 18.97 lakh in FY 2022–23, and as the recipient of a Rs. 16.25 lakh payment from the cash credit account in December 2025. Two-way trading with the same counterparty is not improper, but it does obscure the true receivable and payable positions and it invites netting arrangements that a hypothecation charge cannot reach. The documents do not explain the relationship.</w:t>
      </w:r>
    </w:p>
    <w:p>
      <w:pPr>
        <w:pStyle w:val="Heading2"/>
        <w:spacing w:after="80" w:before="160"/>
        <w:jc w:val="left"/>
      </w:pPr>
      <w:r>
        <w:rPr>
          <w:rFonts w:ascii="Arial" w:cs="Arial" w:eastAsia="Arial" w:hAnsi="Arial"/>
          <w:b/>
          <w:bCs/>
          <w:color w:val="2E75B6"/>
          <w:sz w:val="22"/>
          <w:szCs w:val="22"/>
        </w:rPr>
        <w:t xml:space="preserve">Unit Economics</w:t>
      </w:r>
    </w:p>
    <w:p>
      <w:pPr>
        <w:spacing w:after="80" w:before="80"/>
        <w:jc w:val="both"/>
      </w:pPr>
      <w:r>
        <w:rPr>
          <w:rFonts w:ascii="Arial" w:cs="Arial" w:eastAsia="Arial" w:hAnsi="Arial"/>
          <w:b/>
          <w:bCs/>
          <w:i w:val="false"/>
          <w:iCs w:val="false"/>
          <w:color w:val="000000"/>
          <w:sz w:val="18"/>
          <w:szCs w:val="18"/>
        </w:rPr>
        <w:t xml:space="preserve">Per-order economics, built from documented figures only. </w:t>
      </w:r>
      <w:r>
        <w:rPr>
          <w:rFonts w:ascii="Arial" w:cs="Arial" w:eastAsia="Arial" w:hAnsi="Arial"/>
          <w:b w:val="false"/>
          <w:bCs w:val="false"/>
          <w:i w:val="false"/>
          <w:iCs w:val="false"/>
          <w:color w:val="000000"/>
          <w:sz w:val="18"/>
          <w:szCs w:val="18"/>
        </w:rPr>
        <w:t xml:space="preserve">The largest confirmed order — 45 packs of 73.6V 420Ah LFP for Haul Material Handling at Rs. 139.10 lakh base value — works out at Rs. 3.09 lakh per pack and Rs. 10,000 per kWh. Applying the FY 2025–26 material margin of 18.3% gives material cost of Rs. 113.65 lakh and material contribution of Rs. 25.45 lakh on that order. At the computed cash conversion cycle of 49.7 days, the working capital locked in it is Rs. 139.10 lakh multiplied by 49.7 over 365, or Rs. 18.94 lakh held for roughly fifty days. In other words, one order of this size consumes about 19% of the proposed facility for one turn.</w:t>
      </w:r>
    </w:p>
    <w:p>
      <w:pPr>
        <w:spacing w:after="80" w:before="80"/>
        <w:jc w:val="both"/>
      </w:pPr>
      <w:r>
        <w:rPr>
          <w:rFonts w:ascii="Arial" w:cs="Arial" w:eastAsia="Arial" w:hAnsi="Arial"/>
          <w:b/>
          <w:bCs/>
          <w:i w:val="false"/>
          <w:iCs w:val="false"/>
          <w:color w:val="000000"/>
          <w:sz w:val="18"/>
          <w:szCs w:val="18"/>
        </w:rPr>
        <w:t xml:space="preserve">The question that matters for a revolving limit is whether the marginal rupee pays for itself, </w:t>
      </w:r>
      <w:r>
        <w:rPr>
          <w:rFonts w:ascii="Arial" w:cs="Arial" w:eastAsia="Arial" w:hAnsi="Arial"/>
          <w:b w:val="false"/>
          <w:bCs w:val="false"/>
          <w:i w:val="false"/>
          <w:iCs w:val="false"/>
          <w:color w:val="000000"/>
          <w:sz w:val="18"/>
          <w:szCs w:val="18"/>
        </w:rPr>
        <w:t xml:space="preserve">and it can be answered from the same figures. With a 49.7-day cycle, a rupee of limit turns 365 divided by 49.7, or 7.34 times a year. At the FY 2025–26 reported operating margin of 4.0%, each turn generates 4.0 paise of operating profit, so a rupee of limit generates 29.4 paise across the year against an interest cost of 15.0 paise at the proposed rate. Coverage on the marginal rupee is therefore about 1.96 times — positive, and enough to justify the pricing, but not generous. The sensitivity is the point: if the operating margin slips to 3.0%, coverage falls to 1.47 times, and at 2.5% it falls to 1.22 times. Since the margin has sat between 3.6% and 4.0% for three years without expanding as turnover doubled, there is very little margin buffer in this structure, and a facility priced at 15% is close to the level at which incremental lending stops adding value to the borrower. That is a reason to keep the limit tied to documented cycle need rather than to grant headroom.</w:t>
      </w:r>
    </w:p>
    <w:p>
      <w:pPr>
        <w:spacing w:after="80" w:before="80"/>
        <w:jc w:val="both"/>
      </w:pPr>
      <w:r>
        <w:rPr>
          <w:rFonts w:ascii="Arial" w:cs="Arial" w:eastAsia="Arial" w:hAnsi="Arial"/>
          <w:b/>
          <w:bCs/>
          <w:i w:val="false"/>
          <w:iCs w:val="false"/>
          <w:color w:val="000000"/>
          <w:sz w:val="18"/>
          <w:szCs w:val="18"/>
        </w:rPr>
        <w:t xml:space="preserve">Order-level gross margins for individual orders are not available in the documents provided and should be verified in the management meeting. </w:t>
      </w:r>
      <w:r>
        <w:rPr>
          <w:rFonts w:ascii="Arial" w:cs="Arial" w:eastAsia="Arial" w:hAnsi="Arial"/>
          <w:b w:val="false"/>
          <w:bCs w:val="false"/>
          <w:i w:val="false"/>
          <w:iCs w:val="false"/>
          <w:color w:val="000000"/>
          <w:sz w:val="18"/>
          <w:szCs w:val="18"/>
        </w:rPr>
        <w:t xml:space="preserve">The per-order figures above apply an annual average margin to a specific order, which will overstate margin on competitively tendered industrial work and understate it on dealer sales. The realisation per kWh range across just five order lines is Rs. 10,000 to Rs. 11,794 — an 18% spread — which is itself evidence that pricing varies materially by customer and format.</w:t>
      </w:r>
    </w:p>
    <w:p>
      <w:pPr>
        <w:pStyle w:val="Heading2"/>
        <w:spacing w:after="80" w:before="160"/>
        <w:jc w:val="left"/>
      </w:pPr>
      <w:r>
        <w:rPr>
          <w:rFonts w:ascii="Arial" w:cs="Arial" w:eastAsia="Arial" w:hAnsi="Arial"/>
          <w:b/>
          <w:bCs/>
          <w:color w:val="2E75B6"/>
          <w:sz w:val="22"/>
          <w:szCs w:val="22"/>
        </w:rPr>
        <w:t xml:space="preserve">Revenue Model and Cash Conversion</w:t>
      </w:r>
    </w:p>
    <w:p>
      <w:pPr>
        <w:spacing w:after="80" w:before="80"/>
        <w:jc w:val="both"/>
      </w:pPr>
      <w:r>
        <w:rPr>
          <w:rFonts w:ascii="Arial" w:cs="Arial" w:eastAsia="Arial" w:hAnsi="Arial"/>
          <w:b w:val="false"/>
          <w:bCs w:val="false"/>
          <w:i w:val="false"/>
          <w:iCs w:val="false"/>
          <w:color w:val="000000"/>
          <w:sz w:val="18"/>
          <w:szCs w:val="18"/>
        </w:rPr>
        <w:t xml:space="preserve">Payment terms are not documented in any customer contract on file, and no framework agreement or price list was supplied. What the records establish is behavioural: the debtor ageing shows 71.2% of the book inside 30 days and 83.8% inside 60 days, and the bank statements show thousands of small receipts arriving continuously rather than in monthly settlement batches. That is the signature of dispatch-against-payment and short dealer credit rather than milestone billing. Advances from customers appear in other current liabilities — a schedule of sixteen named advances at 31-Mar-2025 including Dayrays Technologies, Formula-Zero, Oscar E Motors, SFS Equipments and Smart Bykes — so a modest amount of the book is prepaid. No retention money is visible anywhere on the balance sheet, which is consistent with product supply rather than installed-project work and removes a category of deferred revenue the committee would otherwise need to discount.</w:t>
      </w:r>
    </w:p>
    <w:p>
      <w:pPr>
        <w:spacing w:after="80" w:before="80"/>
        <w:jc w:val="both"/>
      </w:pPr>
      <w:r>
        <w:rPr>
          <w:rFonts w:ascii="Arial" w:cs="Arial" w:eastAsia="Arial" w:hAnsi="Arial"/>
          <w:b/>
          <w:bCs/>
          <w:i w:val="false"/>
          <w:iCs w:val="false"/>
          <w:color w:val="000000"/>
          <w:sz w:val="18"/>
          <w:szCs w:val="18"/>
        </w:rPr>
        <w:t xml:space="preserve">The order-to-cash journey reconciles to the computed cycle without a material gap, which is reassuring. </w:t>
      </w:r>
      <w:r>
        <w:rPr>
          <w:rFonts w:ascii="Arial" w:cs="Arial" w:eastAsia="Arial" w:hAnsi="Arial"/>
          <w:b w:val="false"/>
          <w:bCs w:val="false"/>
          <w:i w:val="false"/>
          <w:iCs w:val="false"/>
          <w:color w:val="000000"/>
          <w:sz w:val="18"/>
          <w:szCs w:val="18"/>
        </w:rPr>
        <w:t xml:space="preserve">Inventory turns in 67.0 days, receivables collect in 20.3 days and payables run 37.6 days, giving a 49.7-day cash conversion cycle. The claimed model — short dealer credit, dispatch against payment, some advances — would predict low debtor days, and 20.3 days is genuinely low. Where the model and the numbers diverge is inventory, not receivables: 67.0 days of stock is long for a business collecting in three weeks, and it has lengthened in each of the last three years from 38.5 days. The cycle is being driven almost entirely by stock, which is where the enquiry belongs.</w:t>
      </w:r>
    </w:p>
    <w:p>
      <w:pPr>
        <w:spacing w:after="80" w:before="80"/>
        <w:jc w:val="both"/>
      </w:pPr>
      <w:r>
        <w:rPr>
          <w:rFonts w:ascii="Arial" w:cs="Arial" w:eastAsia="Arial" w:hAnsi="Arial"/>
          <w:b/>
          <w:bCs/>
          <w:i w:val="false"/>
          <w:iCs w:val="false"/>
          <w:color w:val="000000"/>
          <w:sz w:val="18"/>
          <w:szCs w:val="18"/>
        </w:rPr>
        <w:t xml:space="preserve">One caveat on the receivable figure. </w:t>
      </w:r>
      <w:r>
        <w:rPr>
          <w:rFonts w:ascii="Arial" w:cs="Arial" w:eastAsia="Arial" w:hAnsi="Arial"/>
          <w:b w:val="false"/>
          <w:bCs w:val="false"/>
          <w:i w:val="false"/>
          <w:iCs w:val="false"/>
          <w:color w:val="000000"/>
          <w:sz w:val="18"/>
          <w:szCs w:val="18"/>
        </w:rPr>
        <w:t xml:space="preserve">Receivables carry GST while sales are reported net of it, so roughly 15 to 18% of the apparent debtor days is a tax artefact rather than customer credit. On that adjustment, true customer credit is nearer 17 days than 20 — which makes the collection performance better than it looks, and makes the inventory position look correspondingly worse as the driver of the cycle.</w:t>
      </w:r>
    </w:p>
    <w:p>
      <w:pPr>
        <w:pStyle w:val="Heading2"/>
        <w:spacing w:after="80" w:before="160"/>
        <w:jc w:val="left"/>
      </w:pPr>
      <w:r>
        <w:rPr>
          <w:rFonts w:ascii="Arial" w:cs="Arial" w:eastAsia="Arial" w:hAnsi="Arial"/>
          <w:b/>
          <w:bCs/>
          <w:color w:val="2E75B6"/>
          <w:sz w:val="22"/>
          <w:szCs w:val="22"/>
        </w:rPr>
        <w:t xml:space="preserve">USPs and Competitive Advantage — the Moat Test</w:t>
      </w:r>
    </w:p>
    <w:p>
      <w:pPr>
        <w:spacing w:after="80" w:before="80"/>
        <w:jc w:val="both"/>
      </w:pPr>
      <w:r>
        <w:rPr>
          <w:rFonts w:ascii="Arial" w:cs="Arial" w:eastAsia="Arial" w:hAnsi="Arial"/>
          <w:b w:val="false"/>
          <w:bCs w:val="false"/>
          <w:i w:val="false"/>
          <w:iCs w:val="false"/>
          <w:color w:val="000000"/>
          <w:sz w:val="18"/>
          <w:szCs w:val="18"/>
        </w:rPr>
        <w:t xml:space="preserve">Each claimed advantage is tested below against evidence rather than accepted.</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Repeat-order continuity — supported. </w:t>
      </w:r>
      <w:r>
        <w:rPr>
          <w:rFonts w:ascii="Arial" w:cs="Arial" w:eastAsia="Arial" w:hAnsi="Arial"/>
          <w:b w:val="false"/>
          <w:bCs w:val="false"/>
          <w:i w:val="false"/>
          <w:iCs w:val="false"/>
          <w:color w:val="000000"/>
          <w:sz w:val="18"/>
          <w:szCs w:val="18"/>
        </w:rPr>
        <w:t xml:space="preserve">Sixteen months of bank data show the same dealer names recurring every month, and the top industrial customers appear simultaneously in the ageing, the order book and the collection records. This is the strongest evidenced advantage in the file. What would erode it: dealers switch on price, and the switching cost of a battery pack for a two-wheeler retailer is close to zero once a cheaper equivalent passes the same AIS certification.</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Proprietary technology — partially supported. </w:t>
      </w:r>
      <w:r>
        <w:rPr>
          <w:rFonts w:ascii="Arial" w:cs="Arial" w:eastAsia="Arial" w:hAnsi="Arial"/>
          <w:b w:val="false"/>
          <w:bCs w:val="false"/>
          <w:i w:val="false"/>
          <w:iCs w:val="false"/>
          <w:color w:val="000000"/>
          <w:sz w:val="18"/>
          <w:szCs w:val="18"/>
        </w:rPr>
        <w:t xml:space="preserve">The in-house battery management system, phase-change thermal material work and the Ion Meter SOC-10000 state-of-charge instrument on an STM32 ARM Cortex-M7 platform are described in technical detail consistent with real development work, and the firm's ability to meet a customer-specified CAN interface and 500A BMS on the Haul order is practical corroboration. However, no patent, design registration or test report is on file, and no research and development expense line is separately disclosed in any year. Development capability is evidenced; defensible intellectual property is not.</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Vendor empanelments and certifications — not supported. </w:t>
      </w:r>
      <w:r>
        <w:rPr>
          <w:rFonts w:ascii="Arial" w:cs="Arial" w:eastAsia="Arial" w:hAnsi="Arial"/>
          <w:b w:val="false"/>
          <w:bCs w:val="false"/>
          <w:i w:val="false"/>
          <w:iCs w:val="false"/>
          <w:color w:val="000000"/>
          <w:sz w:val="18"/>
          <w:szCs w:val="18"/>
        </w:rPr>
        <w:t xml:space="preserve">The profile asserts ISO 9001:2015 with no certificate number, certifying body or expiry date, so it cannot be verified. More materially, there is no evidence anywhere in the file of AIS-156 phase 2 or BIS certification, which is the binding regulatory gate for EV traction battery packs sold in India, and no GeM registration, DISCOM empanelment or PSU vendor code is traceable. Certifications that take competitors years to obtain would be a real moat; the absence of documented certification is a compliance question before it is a competitive one, and it heads the Question Bank.</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Pricing power as a margin premium — not supported. </w:t>
      </w:r>
      <w:r>
        <w:rPr>
          <w:rFonts w:ascii="Arial" w:cs="Arial" w:eastAsia="Arial" w:hAnsi="Arial"/>
          <w:b w:val="false"/>
          <w:bCs w:val="false"/>
          <w:i w:val="false"/>
          <w:iCs w:val="false"/>
          <w:color w:val="000000"/>
          <w:sz w:val="18"/>
          <w:szCs w:val="18"/>
        </w:rPr>
        <w:t xml:space="preserve">The operating margin of 4.0% sits roughly seven percentage points below both listed peers and has not expanded as turnover doubled. There is no margin premium to point to.</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Service network and locational edge — partially supported. </w:t>
      </w:r>
      <w:r>
        <w:rPr>
          <w:rFonts w:ascii="Arial" w:cs="Arial" w:eastAsia="Arial" w:hAnsi="Arial"/>
          <w:b w:val="false"/>
          <w:bCs w:val="false"/>
          <w:i w:val="false"/>
          <w:iCs w:val="false"/>
          <w:color w:val="000000"/>
          <w:sz w:val="18"/>
          <w:szCs w:val="18"/>
        </w:rPr>
        <w:t xml:space="preserve">The firm claims a national after-sales service network and operates an online warranty portal, and transportation costs of Rs. 39.99 lakh in FY 2025–26 — 1.3% of revenue — are consistent with genuine pan-India despatch from a single Coimbatore base. Coimbatore is a real advantage for engineering labour and fabrication supply. Neither is exclusive.</w:t>
      </w:r>
    </w:p>
    <w:p>
      <w:pPr>
        <w:spacing w:after="80" w:before="80"/>
        <w:jc w:val="both"/>
      </w:pPr>
      <w:r>
        <w:rPr>
          <w:rFonts w:ascii="Arial" w:cs="Arial" w:eastAsia="Arial" w:hAnsi="Arial"/>
          <w:b/>
          <w:bCs/>
          <w:i w:val="false"/>
          <w:iCs w:val="false"/>
          <w:color w:val="000000"/>
          <w:sz w:val="18"/>
          <w:szCs w:val="18"/>
        </w:rPr>
        <w:t xml:space="preserve">Moat Test conclusion: there is no durable moat here. </w:t>
      </w:r>
      <w:r>
        <w:rPr>
          <w:rFonts w:ascii="Arial" w:cs="Arial" w:eastAsia="Arial" w:hAnsi="Arial"/>
          <w:b w:val="false"/>
          <w:bCs w:val="false"/>
          <w:i w:val="false"/>
          <w:iCs w:val="false"/>
          <w:color w:val="000000"/>
          <w:sz w:val="18"/>
          <w:szCs w:val="18"/>
        </w:rPr>
        <w:t xml:space="preserve">The firm competes on execution, engineering responsiveness, service and price, and it is a price-taker on its largest orders. That is not a reason to decline — a competent commodity operator with clean collections, a diversified dealer book and CMR-3 conduct can be a perfectly good short-tenor working capital credit, and the marginal-rupee arithmetic above supports the facility. But the committee should not be sold a moat that the evidence does not support, and the exposure should be sized and tenored as what it is: a revolving loan against a verifiable trade cycle, not a bet on a defensible franchise.</w:t>
      </w:r>
    </w:p>
    <w:p>
      <w:pPr>
        <w:pStyle w:val="Heading2"/>
        <w:spacing w:after="80" w:before="160"/>
        <w:jc w:val="left"/>
      </w:pPr>
      <w:r>
        <w:rPr>
          <w:rFonts w:ascii="Arial" w:cs="Arial" w:eastAsia="Arial" w:hAnsi="Arial"/>
          <w:b/>
          <w:bCs/>
          <w:color w:val="2E75B6"/>
          <w:sz w:val="22"/>
          <w:szCs w:val="22"/>
        </w:rPr>
        <w:t xml:space="preserve">Competitive Landscape</w:t>
      </w:r>
    </w:p>
    <w:p>
      <w:pPr>
        <w:spacing w:after="80" w:before="80"/>
        <w:jc w:val="both"/>
      </w:pPr>
      <w:r>
        <w:rPr>
          <w:rFonts w:ascii="Arial" w:cs="Arial" w:eastAsia="Arial" w:hAnsi="Arial"/>
          <w:b w:val="false"/>
          <w:bCs w:val="false"/>
          <w:i w:val="false"/>
          <w:iCs w:val="false"/>
          <w:color w:val="000000"/>
          <w:sz w:val="18"/>
          <w:szCs w:val="18"/>
        </w:rPr>
        <w:t xml:space="preserve">Five nameable competitors emerge from the public scan and, revealingly, four of them are also this firm's suppliers. Axiom Energy Conversion Limited, Nav Shakti Lithium Private Limited, Lithion Power Private Limited and Nsure Reliable Power Solutions Private Limited all appear in the trade payables schedules while operating in the same pack space — a structure typical of an immature industry where firms trade cells, modules and finished packs with each other depending on who has capacity and who has the order. ZXZ Power Private Limited of Indore is a direct like-for-like comparison at similar or smaller scale, with 11 to 25 employees, a declared GST turnover band of Rs. 40 lakh to Rs. 1.5 crore, NMC and LFP packs, in-house BMS software and IoT features — essentially the same proposition, which illustrates how low the barrier to entry is at this end of the market. At the organised end sit Exicom Tele-Systems, Ola Electric's captive assembly and Exide Energy Solutions.</w:t>
      </w:r>
    </w:p>
    <w:p>
      <w:pPr>
        <w:spacing w:after="80" w:before="80"/>
        <w:jc w:val="both"/>
      </w:pPr>
      <w:r>
        <w:rPr>
          <w:rFonts w:ascii="Arial" w:cs="Arial" w:eastAsia="Arial" w:hAnsi="Arial"/>
          <w:b/>
          <w:bCs/>
          <w:i w:val="false"/>
          <w:iCs w:val="false"/>
          <w:color w:val="000000"/>
          <w:sz w:val="18"/>
          <w:szCs w:val="18"/>
        </w:rPr>
        <w:t xml:space="preserve">Where this borrower wins and loses is reasonably clear from the evidence. </w:t>
      </w:r>
      <w:r>
        <w:rPr>
          <w:rFonts w:ascii="Arial" w:cs="Arial" w:eastAsia="Arial" w:hAnsi="Arial"/>
          <w:b w:val="false"/>
          <w:bCs w:val="false"/>
          <w:i w:val="false"/>
          <w:iCs w:val="false"/>
          <w:color w:val="000000"/>
          <w:sz w:val="18"/>
          <w:szCs w:val="18"/>
        </w:rPr>
        <w:t xml:space="preserve">It wins where a customer needs a customised large-format pack quickly, with engineering support and a service commitment, and where the volume is too small for an integrated manufacturer to bother with — that describes the entire material-handling order book. It loses on price against small assemblers with lower overheads, since its own overhead includes Rs. 48 lakh of partner remuneration and a fifty-person plant, and it will lose on cost to integrated cell makers as domestic cell capacity comes online. Its Rs. 31 crore turnover puts it ahead of most of the unorganised field and two orders of magnitude behind the organised one, which is a reasonable place to be for a working capital borrower and an uncomfortable one for a long-term equity thesis.</w:t>
      </w:r>
    </w:p>
    <w:p>
      <w:pPr>
        <w:pStyle w:val="Heading2"/>
        <w:spacing w:after="80" w:before="160"/>
        <w:jc w:val="left"/>
      </w:pPr>
      <w:r>
        <w:rPr>
          <w:rFonts w:ascii="Arial" w:cs="Arial" w:eastAsia="Arial" w:hAnsi="Arial"/>
          <w:b/>
          <w:bCs/>
          <w:color w:val="2E75B6"/>
          <w:sz w:val="22"/>
          <w:szCs w:val="22"/>
        </w:rPr>
        <w:t xml:space="preserve">Innovation and Growth Pipeline</w:t>
      </w:r>
    </w:p>
    <w:p>
      <w:pPr>
        <w:spacing w:after="80" w:before="80"/>
        <w:jc w:val="both"/>
      </w:pPr>
      <w:r>
        <w:rPr>
          <w:rFonts w:ascii="Arial" w:cs="Arial" w:eastAsia="Arial" w:hAnsi="Arial"/>
          <w:b w:val="false"/>
          <w:bCs w:val="false"/>
          <w:i w:val="false"/>
          <w:iCs w:val="false"/>
          <w:color w:val="000000"/>
          <w:sz w:val="18"/>
          <w:szCs w:val="18"/>
        </w:rPr>
        <w:t xml:space="preserve">The profile identifies three development streams, one described as completed and two as ongoing: phase-change material thermal management (shown as completed, with claimed temperature reductions of 19–27% across charge and discharge rates), predictive battery analytics using machine learning on logged voltage data, and continuing BMS development. The Ion Meter SOC-10000 is presented as a launched product. No funding source is identified for any of them and no research and development expenditure is separately disclosed in any year's accounts, so the work is presumably absorbed within general employee cost — which is plausible at this scale but means the pipeline is not separately financed and would be the first casualty of a cash squeeze.</w:t>
      </w:r>
    </w:p>
    <w:p>
      <w:pPr>
        <w:spacing w:after="80" w:before="80"/>
        <w:jc w:val="both"/>
      </w:pPr>
      <w:r>
        <w:rPr>
          <w:rFonts w:ascii="Arial" w:cs="Arial" w:eastAsia="Arial" w:hAnsi="Arial"/>
          <w:b/>
          <w:bCs/>
          <w:i w:val="false"/>
          <w:iCs w:val="false"/>
          <w:color w:val="000000"/>
          <w:sz w:val="18"/>
          <w:szCs w:val="18"/>
        </w:rPr>
        <w:t xml:space="preserve">Tested against the projection assumptions, the pipeline is not what drives the numbers, and that is a point in the projection's favour. </w:t>
      </w:r>
      <w:r>
        <w:rPr>
          <w:rFonts w:ascii="Arial" w:cs="Arial" w:eastAsia="Arial" w:hAnsi="Arial"/>
          <w:b w:val="false"/>
          <w:bCs w:val="false"/>
          <w:i w:val="false"/>
          <w:iCs w:val="false"/>
          <w:color w:val="000000"/>
          <w:sz w:val="18"/>
          <w:szCs w:val="18"/>
        </w:rPr>
        <w:t xml:space="preserve">The FY 2026–27 revenue target requires about 4.0 MWh a month against roughly 5 MWh of stated capacity and 2.44 MWh currently achieved — it is a volume and working capital story on existing products through existing channels, not a new-product story. No revenue is attributed to any pipeline item. The projection's aggression lies in the 63.6% growth rate itself, addressed in Section 5, rather than in unproven technology.</w:t>
      </w:r>
    </w:p>
    <w:p>
      <w:pPr>
        <w:pStyle w:val="Heading2"/>
        <w:spacing w:after="80" w:before="160"/>
        <w:jc w:val="left"/>
      </w:pPr>
      <w:r>
        <w:rPr>
          <w:rFonts w:ascii="Arial" w:cs="Arial" w:eastAsia="Arial" w:hAnsi="Arial"/>
          <w:b/>
          <w:bCs/>
          <w:color w:val="2E75B6"/>
          <w:sz w:val="22"/>
          <w:szCs w:val="22"/>
        </w:rPr>
        <w:t xml:space="preserve">Management Meeting Question Bank</w:t>
      </w:r>
    </w:p>
    <w:p>
      <w:pPr>
        <w:spacing w:after="80" w:before="80"/>
        <w:jc w:val="both"/>
      </w:pPr>
      <w:r>
        <w:rPr>
          <w:rFonts w:ascii="Arial" w:cs="Arial" w:eastAsia="Arial" w:hAnsi="Arial"/>
          <w:b w:val="false"/>
          <w:bCs w:val="false"/>
          <w:i w:val="false"/>
          <w:iCs w:val="false"/>
          <w:color w:val="000000"/>
          <w:sz w:val="18"/>
          <w:szCs w:val="18"/>
        </w:rPr>
        <w:t xml:space="preserve">The following items could not be established from the documents or the public scrub and are commitments for the pre-sanction meeting.</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Explain the role, activity and financials of PINNACLE LITHIUM POWER PRIVATE LIMITED (CIN U46909TZ2023PTC029215), incorporated 20-Aug-2023 with all four partners as directors and publicly associated with the Pulze Batteries brand. Provide its audited accounts, bank statements and GST returns, and a written statement of all transactions between it and the firm. Explain why the CMA declares related-party balances as nil.</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Provide the full particulars of the Rs. 110.42 lakh of unsecured loans on the 31-Mar-2026 balance sheet — lender name, constitution, amount, rate, tenor, security and repayment schedule for each — with specific reference to the credits from Jubilant Capital (Rs. 108.10 lakh), A Square Enterprises (Rs. 67.88 lakh), Growth Capital, Ascend Solutions, Nandhini Sureshkumar and Senthil Vadivel A J, and to the Rs. 228.09 lakh of credits from "Sreeramkumar V" in the Bank of India account.</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Produce a stock ageing statement for the Rs. 461.76 lakh of inventory at 31-Mar-2026 and the current date, split between cells, components, work in progress and finished packs, identifying any cells held longer than 180 days and any chemistry or format that is no longer being sold. Permit physical stock verification at all premises.</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Confirm the number of production units and their complete addresses, whether owned or leased, and produce lease deeds; reconcile annual rent of Rs. 12.84 lakh to the premises actually occupied and explain the "Factory Rent – Saraswathi (Unit-1)" entry in the FY 2024–25 payables. Produce monthly output logs in kWh and in pack numbers for the last twelve months by unit, together with any installed capacity certificate, so that the derived utilisation of roughly 49% can be verified.</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Confirm order-level gross margins for the five largest orders executed in FY 2025–26 and for each of the four confirmed orders now in hand, showing material cost, direct labour and realisation per kWh, and provide a segment-wise revenue split for FY 2024–25 and FY 2025–26 across material handling, EV two and three wheeler, stationary storage and other applications reconciled to the GST outward supply return.</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State which product certifications are held — AIS-156 phase 2, BIS, ISO 9001:2015 — with certificate numbers, certifying bodies, scope and renewal dates, and confirm the compliance position for every EV pack currently being sold.</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Explain the customer relationships displayed in the company profile for Caterpillar, Volvo Construction Equipment, Qualcomm, TAFE, Saint-Gobain, PSG and Avatar Aviation, none of which appears in the debtor ageing, the order book or sixteen months of bank collections. Provide invoices or purchase orders where relationships exist.</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Reconcile the Rs. 178.56 lakh bank overdraft shown in the 31-Mar-2026 provisional balance sheet against the Bank of India cash credit statement balance of approximately Rs. 129.00 lakh at 30-Mar-2026, and explain the difference of about Rs. 49.6 lakh. Produce the current sanction letter evidencing the Rs. 250 lakh cash credit limit, which was not supplied.</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Explain the Rs. 19.40 lakh received from "SIBL LI" on 18-Nov-2025 and the identical Rs. 19.40 lakh paid to Tylos Electric Vehicles on 19-Nov-2025, and explain why Tylos — the largest single collection counterparty in the Bank of India account at Rs. 213.50 lakh — does not appear in the debtor ageing. Also explain the two-way trading with Carbon Compass Enterprises.</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Confirm headcount by function with the latest EPF electronic challan-cum-return, reconciling the "around 50 employees" claim in the profile against the 22 employees stated on public sources, and explain the recurring EPF and ESI late-remittance disallowances in FY23, FY24 and FY25.</w:t>
      </w:r>
    </w:p>
    <w:p>
      <w:pPr>
        <w:pStyle w:val="Heading2"/>
        <w:spacing w:after="80" w:before="160"/>
        <w:jc w:val="left"/>
      </w:pPr>
      <w:r>
        <w:rPr>
          <w:rFonts w:ascii="Arial" w:cs="Arial" w:eastAsia="Arial" w:hAnsi="Arial"/>
          <w:b/>
          <w:bCs/>
          <w:color w:val="2E75B6"/>
          <w:sz w:val="22"/>
          <w:szCs w:val="22"/>
        </w:rPr>
        <w:t xml:space="preserve">Key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6060"/>
      </w:tblGrid>
      <w:tr>
        <w:trPr>
          <w:tblHeader/>
        </w:trPr>
        <w:tc>
          <w:tcPr>
            <w:tcW w:type="dxa" w:w="21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Risk Area</w:t>
            </w:r>
          </w:p>
        </w:tc>
        <w:tc>
          <w:tcPr>
            <w:tcW w:type="dxa" w:w="12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Severity</w:t>
            </w:r>
          </w:p>
        </w:tc>
        <w:tc>
          <w:tcPr>
            <w:tcW w:type="dxa" w:w="60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Transmission Mechanism and Mitigant</w:t>
            </w:r>
          </w:p>
        </w:tc>
      </w:tr>
      <w:tr>
        <w:trPr>
          <w:tblHeader w:val="false"/>
        </w:trPr>
        <w:tc>
          <w:tcPr>
            <w:tcW w:type="dxa" w:w="21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Undisclosed related entity and nil related-party declaration</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Critical</w:t>
            </w:r>
          </w:p>
        </w:tc>
        <w:tc>
          <w:tcPr>
            <w:tcW w:type="dxa" w:w="60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Four partners own a same-name private limited company registered as a wholesale trader and publicly linked to the same brand, while the CMA reports every related-party balance as nil. Transmission: inventory financed by Evam could be sold to or held for the company at non-arm's-length prices, moving margin out of the borrowing entity while leaving the debt behind; receivables could be assigned; and the hypothecated stock could belong to a party outside the charge. A Rs. 100 lakh limit deployed into a 67%-inventory balance sheet is exposed to exactly this leakage. Mitigant: no disbursement until the company's audited accounts, GST returns and bank statements are furnished and a certified statement of all inter-entity transactions is received; a negative covenant against any sale, transfer or advance to the company or to Pinnacle Power Systems without prior written consent; and cross-guarantee or a non-disposal undertaking from the company if any trading is disclosed.</w:t>
            </w:r>
          </w:p>
        </w:tc>
      </w:tr>
      <w:tr>
        <w:trPr>
          <w:tblHeader w:val="false"/>
        </w:trPr>
        <w:tc>
          <w:tcPr>
            <w:tcW w:type="dxa" w:w="21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Inventory quality and concentration</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High</w:t>
            </w:r>
          </w:p>
        </w:tc>
        <w:tc>
          <w:tcPr>
            <w:tcW w:type="dxa" w:w="60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Inventory of Rs. 461.76 lakh is 67.7% of current assets and 55.4% of total assets, has grown 154.8% against 91.9% revenue growth, and lengthened from 38.5 to 67.0 days over three years. Transmission: lithium cells depreciate as global cell prices fall and become unsaleable as chemistries and formats move on, so a 20-point realisation shortfall on this stock removes about Rs. 92 lakh of security — most of the facility — without any change in the profit and loss account. Because Evam's charge is effectively an inventory charge, this is the direct route from operating problem to credit loss. Mitigant: stock ageing statement and physical verification before disbursement; quarterly stock and book debt statements with drawing power computed after a minimum 25% margin; and drawdowns restricted to documented order and invoice cover.</w:t>
            </w:r>
          </w:p>
        </w:tc>
      </w:tr>
      <w:tr>
        <w:trPr>
          <w:tblHeader w:val="false"/>
        </w:trPr>
        <w:tc>
          <w:tcPr>
            <w:tcW w:type="dxa" w:w="21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Third-party unsecured borrowing</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High</w:t>
            </w:r>
          </w:p>
        </w:tc>
        <w:tc>
          <w:tcPr>
            <w:tcW w:type="dxa" w:w="60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Rs. 110.42 lakh appeared in one year from nil, traced to capital-named counterparties and individuals rather than institutions, alongside Tata Capital at 18% and three facilities sanctioned within twenty days in February 2026. Transmission: informal lenders rank behind nothing contractually but act first practically — they can demand repayment at any time and typically enforce through cheque presentation, which would drain the cash credit account and trigger the supplier credit withdrawal described below. Mitigant: full disclosure of terms as a condition precedent; a covenant capping additional unsecured borrowing without consent; and monitoring of cheque returns across all accounts monthly.</w:t>
            </w:r>
          </w:p>
        </w:tc>
      </w:tr>
      <w:tr>
        <w:trPr>
          <w:tblHeader w:val="false"/>
        </w:trPr>
        <w:tc>
          <w:tcPr>
            <w:tcW w:type="dxa" w:w="21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Working capital intensity and supplier credit fragility</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High</w:t>
            </w:r>
          </w:p>
        </w:tc>
        <w:tc>
          <w:tcPr>
            <w:tcW w:type="dxa" w:w="60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Suppliers fund 37.6 days of a 49.7-day cycle and provided Rs. 158.70 lakh of the Rs. 353 lakh absorbed in FY 2025–26. Transmission: a tightening of creditor terms from 37.6 to 20 days withdraws roughly Rs. 135 lakh — more than the whole facility — forcing full utilisation of Evam plus a further Rs. 35 lakh from elsewhere, and Bank of India offers no headroom at 100.8% utilisation. Mitigant: the facility itself provides Rs. 100 lakh of formal, contracted replacement for informal credit, which is the core commercial logic of the deal; monitoring of creditor days quarterly with escalation beyond 45 days.</w:t>
            </w:r>
          </w:p>
        </w:tc>
      </w:tr>
      <w:tr>
        <w:trPr>
          <w:tblHeader w:val="false"/>
        </w:trPr>
        <w:tc>
          <w:tcPr>
            <w:tcW w:type="dxa" w:w="21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Client concentration — order book</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High</w:t>
            </w:r>
          </w:p>
        </w:tc>
        <w:tc>
          <w:tcPr>
            <w:tcW w:type="dxa" w:w="60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 single unrated partnership firm accounts for 57.6% of the confirmed order book and the top three for 88.5%. Transmission: if Haul Material Handling delays payment on its Rs. 164.14 lakh order by 90 days, the firm requires roughly Rs. 40 lakh of additional working capital to hold the position, which at 100.8% utilisation at Bank of India must come from Evam and would consume 40% of the limit on one name; if the order is cancelled after build, the firm holds customer-specified packs to drawing H3-BAT-ASP-03-A that no other buyer can use. Mitigant: single-name drawdown cap of 25% of the limit; order-linked disbursement with acknowledged purchase orders; and reliance for repayment on the diversified dealer book rather than the order book.</w:t>
            </w:r>
          </w:p>
        </w:tc>
      </w:tr>
      <w:tr>
        <w:trPr>
          <w:tblHeader w:val="false"/>
        </w:trPr>
        <w:tc>
          <w:tcPr>
            <w:tcW w:type="dxa" w:w="21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Execution and scale transition</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High</w:t>
            </w:r>
          </w:p>
        </w:tc>
        <w:tc>
          <w:tcPr>
            <w:tcW w:type="dxa" w:w="60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Revenue nearly doubled in FY 2025–26 and management projects a further 63.6%. Transmission: the industrial channel that carries the growth is barely a year old, and scaling large-format customer-specified builds requires quality systems, testing discipline and warranty provisioning that a fifty-person plant with no named quality head may not have; a field failure on a forklift fleet pack would generate warranty cost, order cancellation and reputational damage in a small industrial community simultaneously. Mitigant: the Analyst Base Case caps growth at 15% and still supports a 1.59 times DSCR, so the credit does not depend on the transition succeeding; quarterly revenue monitoring against projection with escalation triggers.</w:t>
            </w:r>
          </w:p>
        </w:tc>
      </w:tr>
      <w:tr>
        <w:trPr>
          <w:tblHeader w:val="false"/>
        </w:trPr>
        <w:tc>
          <w:tcPr>
            <w:tcW w:type="dxa" w:w="21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Thin margin and operating leverage</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High</w:t>
            </w:r>
          </w:p>
        </w:tc>
        <w:tc>
          <w:tcPr>
            <w:tcW w:type="dxa" w:w="60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Operating margin of 4.0% has not expanded as turnover doubled, and material margin of 18.3% leaves roughly Rs. 602 lakh of non-material cost to be covered. Transmission: a 20% revenue fall eliminates operating profit entirely and produces a Rs. 99.50 lakh cash deficit against term-debt service, because contribution falls by about Rs. 149 lakh against a largely unmoved cost base. Mitigant: Rs. 48 lakh of discretionary partner remuneration is available as the first lever; the 30-to-120 day tranche structure lets Evam decline to revolve inside one cycle; and the cash collateral plus pari passu charge provide 1.09 times stressed cover.</w:t>
            </w:r>
          </w:p>
        </w:tc>
      </w:tr>
      <w:tr>
        <w:trPr>
          <w:tblHeader w:val="false"/>
        </w:trPr>
        <w:tc>
          <w:tcPr>
            <w:tcW w:type="dxa" w:w="21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Capitalisation</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Moderate</w:t>
            </w:r>
          </w:p>
        </w:tc>
        <w:tc>
          <w:tcPr>
            <w:tcW w:type="dxa" w:w="60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Adjusted tangible net worth of Rs. 175.39 lakh supports total debt of Rs. 320.72 lakh, and total outside liabilities are 3.61 times net worth. Transmission: at this leverage a single year of losses of Rs. 50 lakh would take TOL/TNW past 5 times and breach the covenants of most lenders in the structure simultaneously, tightening every facility at once. Mitigant: net worth has grown from Rs. 28.42 lakh to Rs. 180.99 lakh in three years entirely from retained profit and partner contribution, with no dilution; leverage improved in FY 2025–26 despite the debt increase; and partners injected Rs. 26.75 lakh during the year.</w:t>
            </w:r>
          </w:p>
        </w:tc>
      </w:tr>
      <w:tr>
        <w:trPr>
          <w:tblHeader w:val="false"/>
        </w:trPr>
        <w:tc>
          <w:tcPr>
            <w:tcW w:type="dxa" w:w="21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Collateral gap and constitution</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Moderate</w:t>
            </w:r>
          </w:p>
        </w:tc>
        <w:tc>
          <w:tcPr>
            <w:tcW w:type="dxa" w:w="60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 immovable collateral is taken; Evam relies on a pari passu charge over current assets shared with Bank of India, Rs. 10 lakh cash collateral and four personal guarantees. Transmission: on stressed realisation the current asset pool covers combined claims 1.09 times, so any inventory shortfall below roughly 50% realisation leaves Evam unsecured for the balance and dependent on guarantees whose realisable value is Rs. 60–80 lakh rather than the declared Rs. 407.93 lakh. A partnership constitution also means no ROC charge registry, so a competing lender's charge is harder to detect. Mitigant: CERSAI registration; pari passu ceding letter from Bank of India within 90 days; independent valuation and encumbrance certificates on all guarantor property; and joint and several guarantees so no partner can withdraw.</w:t>
            </w:r>
          </w:p>
        </w:tc>
      </w:tr>
      <w:tr>
        <w:trPr>
          <w:tblHeader w:val="false"/>
        </w:trPr>
        <w:tc>
          <w:tcPr>
            <w:tcW w:type="dxa" w:w="21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Technology and product obsolescence</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Moderate</w:t>
            </w:r>
          </w:p>
        </w:tc>
        <w:tc>
          <w:tcPr>
            <w:tcW w:type="dxa" w:w="60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The firm assembles imported cells and holds no registered intellectual property, no verified certification and no domestic cell supply. Transmission: as Exide Energy Solutions and Amara Raja bring cell capacity online, integrated players can price finished packs below an assembler's input cost plus conversion, compressing the 18.3% material margin from which all coverage in this deal is derived; a change in AIS-156 requirements could also strand uncertified stock. Mitigant: the twelve-month facility tenor is materially shorter than the horizon over which domestic cell capacity scales; certification status is a condition precedent.</w:t>
            </w:r>
          </w:p>
        </w:tc>
      </w:tr>
      <w:tr>
        <w:trPr>
          <w:tblHeader w:val="false"/>
        </w:trPr>
        <w:tc>
          <w:tcPr>
            <w:tcW w:type="dxa" w:w="21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Key-man</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Moderate</w:t>
            </w:r>
          </w:p>
        </w:tc>
        <w:tc>
          <w:tcPr>
            <w:tcW w:type="dxa" w:w="60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Four partners aged 27 to 29 with no named second line and no key-man insurance. Transmission: customer relationships appear personally held, so the loss of one partner would likely remove a segment of the dealer ledger and with it the collection rhythm that services the facility. Mitigant: joint and several guarantees from all four; four principals rather than one; short facility tenor.</w:t>
            </w:r>
          </w:p>
        </w:tc>
      </w:tr>
      <w:tr>
        <w:trPr>
          <w:tblHeader w:val="false"/>
        </w:trPr>
        <w:tc>
          <w:tcPr>
            <w:tcW w:type="dxa" w:w="21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Regulatory and compliance</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Moderate</w:t>
            </w:r>
          </w:p>
        </w:tc>
        <w:tc>
          <w:tcPr>
            <w:tcW w:type="dxa" w:w="60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Recurring EPF and ESI late-remittance disallowances across three years, a TDS non-deduction disallowance in FY23, Rs. 10.00 lakh of GST payable at 31-Mar-2025 and unverified product certification. Transmission: statutory arrears create preferential claims that rank ahead of a hypothecation charge in enforcement, and an AIS-156 non-compliance finding could halt EV pack sales outright — the segment that carries the dealer revenue. Mitigant: nil-dues certificates for GST, EPF and ESI as a condition precedent; certification evidence before disbursement; quarterly compliance confirmation.</w:t>
            </w:r>
          </w:p>
        </w:tc>
      </w:tr>
      <w:tr>
        <w:trPr>
          <w:tblHeader w:val="false"/>
        </w:trPr>
        <w:tc>
          <w:tcPr>
            <w:tcW w:type="dxa" w:w="21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Competitive</w:t>
            </w:r>
          </w:p>
        </w:tc>
        <w:tc>
          <w:tcPr>
            <w:tcW w:type="dxa" w:w="1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Moderate</w:t>
            </w:r>
          </w:p>
        </w:tc>
        <w:tc>
          <w:tcPr>
            <w:tcW w:type="dxa" w:w="60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 durable moat; low barriers to entry demonstrated by comparable operators at similar scale; four suppliers are also competitors. Transmission: price competition compresses the 4.0% operating margin, and at 2.5% the marginal-rupee coverage on Evam's own limit falls to 1.22 times, making the facility uneconomic for the borrower before it becomes unsafe for Evam. Mitigant: pricing reviewed at annual renewal; margin monitored quarterly.</w:t>
            </w:r>
          </w:p>
        </w:tc>
      </w:tr>
      <w:tr>
        <w:trPr>
          <w:tblHeader w:val="false"/>
        </w:trPr>
        <w:tc>
          <w:tcPr>
            <w:tcW w:type="dxa" w:w="21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Data integrity in the submission</w:t>
            </w:r>
          </w:p>
        </w:tc>
        <w:tc>
          <w:tcPr>
            <w:tcW w:type="dxa" w:w="1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Moderate</w:t>
            </w:r>
          </w:p>
        </w:tc>
        <w:tc>
          <w:tcPr>
            <w:tcW w:type="dxa" w:w="60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The CMA mislabels interest coverage as DSCR and presents no true DSCR; gross margin is overstated by excluding direct labour; no tax provision is made in any year although tax is paid; the debt profile contains an internally impossible vehicle loan entry; and the debtor ageing is undated. Transmission: none of these is fraud, but together they mean the borrower's own numbers cannot be relied on without recomputation, and a lender that sanctions on the submitted ratios would be underwriting a DSCR of 4.43 times where the true figure is 1.59 times on a base case. Mitigant: every ratio in this memorandum has been independently recomputed from primary records; a covenant requiring CMA data certified by the statutory auditor at each renewal.</w:t>
            </w:r>
          </w:p>
        </w:tc>
      </w:tr>
    </w:tbl>
    <w:p>
      <w:pPr>
        <w:pStyle w:val="Heading1"/>
        <w:pageBreakBefore/>
        <w:spacing w:after="120" w:before="160"/>
        <w:jc w:val="left"/>
      </w:pPr>
      <w:r>
        <w:rPr>
          <w:rFonts w:ascii="Arial" w:cs="Arial" w:eastAsia="Arial" w:hAnsi="Arial"/>
          <w:b/>
          <w:bCs/>
          <w:color w:val="1F3864"/>
          <w:sz w:val="26"/>
          <w:szCs w:val="26"/>
        </w:rPr>
        <w:t xml:space="preserve">SECTION 5: FINANCIAL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Particulars (Rs. lakh)</w:t>
            </w:r>
          </w:p>
        </w:tc>
        <w:tc>
          <w:tcPr>
            <w:tcW w:type="dxa" w:w="132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FY23 (A)</w:t>
            </w:r>
          </w:p>
        </w:tc>
        <w:tc>
          <w:tcPr>
            <w:tcW w:type="dxa" w:w="132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FY24 (A)</w:t>
            </w:r>
          </w:p>
        </w:tc>
        <w:tc>
          <w:tcPr>
            <w:tcW w:type="dxa" w:w="132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FY25 (A)</w:t>
            </w:r>
          </w:p>
        </w:tc>
        <w:tc>
          <w:tcPr>
            <w:tcW w:type="dxa" w:w="132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FY26 (P)</w:t>
            </w:r>
          </w:p>
        </w:tc>
        <w:tc>
          <w:tcPr>
            <w:tcW w:type="dxa" w:w="132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FY27 (E)</w:t>
            </w:r>
          </w:p>
        </w:tc>
      </w:tr>
      <w:tr>
        <w:trPr>
          <w:tblHeader w:val="false"/>
        </w:trPr>
        <w:tc>
          <w:tcPr>
            <w:tcW w:type="dxa" w:w="9360"/>
            <w:gridSpan w:val="6"/>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PROFIT AND LOSS</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Net Sales</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1,371.7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1,843.6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1,605.1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3,080.7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5,040.0</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Revenue growth (%)</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34.4</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91.9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63.6</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Other Income</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0.5</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4.0</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Material Cost</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1,251.6</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1,533.0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1,268.4</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2,515.8</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4,130.1</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Material Margin (%)</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8.8</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16.9</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21.0</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18.3</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18.1</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Employee Cost (staff)</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34.8</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102.0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134.0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179.5</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Partner Remuneration</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42.5</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37.0</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48.0</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PBDIT before partner remuneration</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33.8</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105.8</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98.2</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171.3</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PBDIT (reported)</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66.2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64.1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123.3</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196.7</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PBDIT Margin (%)</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3.9</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Depreciation</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9.3</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22.6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31.6</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Interest</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24.0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27.9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27.9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64.3</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PBT</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5.3</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26.1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19.0</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76.9</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100.8</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Tax provided in books</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Tax assessed per ITR</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PAT (as reported)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5.3</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26.1</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76.9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100.8</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PAT Margin (%)</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0.4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2.0</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PAT (adjusted for tax assessed)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12.3</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Cash Accruals (as reported)</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42.2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99.5</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132.4</w:t>
            </w:r>
          </w:p>
        </w:tc>
      </w:tr>
      <w:tr>
        <w:trPr>
          <w:tblHeader w:val="false"/>
        </w:trPr>
        <w:tc>
          <w:tcPr>
            <w:tcW w:type="dxa" w:w="9360"/>
            <w:gridSpan w:val="6"/>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BALANCE SHEET</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Partners’ Capital and Current A/c (TNW)</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68.1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77.4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181.0</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281.8</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Less: Intangibles (software)</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5.6</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5.6</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Adjusted TNW</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68.1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77.4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175.4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276.2</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Long-Term Borrowings</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51.7</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45.4</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47.5</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31.7</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25.4</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Short-Term Bank Borrowings</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140.5</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83.1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182.6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178.6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Unsecured Loans (third party)</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110.4</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Debt</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192.2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128.4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230.1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320.7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714.4</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Trade Payables</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196.6</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141.9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129.3</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288.0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432.0</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Other Current Liabilities</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0.9</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22.5</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36.0</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Provisions</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21.7</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32.5</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Current Liabilities (incl. bank)</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337.1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225.9</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330.6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621.1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1,189.5</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Net Block (PPE incl. software)</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75.6</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95.1</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95.9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146.2</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204.7</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Inventory</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155.7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161.6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181.2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461.8</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785.0</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Trade Receivables</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71.7</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50.0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139.5</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171.1</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299.5</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Cash and Bank</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76.7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0.3</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154.3</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Loans and Advances / Other CA</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37.5</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32.3</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36.4</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39.8</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43.8</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Current Assets</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341.6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244.2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359.6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682.2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1,282.6</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Assets</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417.2</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339.2</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455.5</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833.9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1,496.6</w:t>
            </w:r>
          </w:p>
        </w:tc>
      </w:tr>
      <w:tr>
        <w:trPr>
          <w:tblHeader w:val="false"/>
        </w:trPr>
        <w:tc>
          <w:tcPr>
            <w:tcW w:type="dxa" w:w="9360"/>
            <w:gridSpan w:val="6"/>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RATIOS (self-computed)</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Current Ratio (x)</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1.01</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1.08</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1.10</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1.08</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Debt / Adjusted TNW (x)</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6.76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1.89</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2.97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1.83</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2.59</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TOL / TNW (x)</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13.68</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3.98</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4.89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3.61</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4.31</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Interest Coverage (x)</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12.12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2.76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2.30</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4.43</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3.06</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DSCR — computed per A3.5 (x)</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2.75</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Blended Cost of Debt (%)</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15.0</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Debtor Days</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19.1</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31.7</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20.3</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21.7</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Inventory Days</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45.4</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38.5</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52.1</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67.0</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69.4</w:t>
            </w:r>
          </w:p>
        </w:tc>
      </w:tr>
      <w:tr>
        <w:trPr>
          <w:tblHeader w:val="false"/>
        </w:trPr>
        <w:tc>
          <w:tcPr>
            <w:tcW w:type="dxa" w:w="2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Creditor Days</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52.9</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33.7</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36.6</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37.6</w:t>
            </w:r>
          </w:p>
        </w:tc>
        <w:tc>
          <w:tcPr>
            <w:tcW w:type="dxa" w:w="1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38.2</w:t>
            </w:r>
          </w:p>
        </w:tc>
      </w:tr>
      <w:tr>
        <w:trPr>
          <w:tblHeader w:val="false"/>
        </w:trPr>
        <w:tc>
          <w:tcPr>
            <w:tcW w:type="dxa" w:w="2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Net WC Cycle Days</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11.6</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47.2</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49.7</w:t>
            </w:r>
          </w:p>
        </w:tc>
        <w:tc>
          <w:tcPr>
            <w:tcW w:type="dxa" w:w="1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52.9</w:t>
            </w:r>
          </w:p>
        </w:tc>
      </w:tr>
    </w:tbl>
    <w:p>
      <w:pPr>
        <w:spacing w:after="80" w:before="80"/>
        <w:jc w:val="both"/>
      </w:pPr>
      <w:r>
        <w:rPr>
          <w:rFonts w:ascii="Arial" w:cs="Arial" w:eastAsia="Arial" w:hAnsi="Arial"/>
          <w:b w:val="false"/>
          <w:bCs w:val="false"/>
          <w:i/>
          <w:iCs/>
          <w:color w:val="000000"/>
          <w:sz w:val="18"/>
          <w:szCs w:val="18"/>
        </w:rPr>
        <w:t xml:space="preserve">(A) audited; (P) provisional and management-certified; (E) management estimate per CMA. FY23 interest of Rs. 2.79 lakh is the only interest figure disclosed in that year’s trading account and appears understated against Rs. 192.18 lakh of debt, so the FY23 interest coverage of 12.12 times is not reliable. FY27 creditor days computed on cost of goods sold because purchases are not separately projected. Every figure above is drawn from the extraction workpaper and has been frozen; narrative below does not restate it.</w:t>
      </w:r>
    </w:p>
    <w:p>
      <w:pPr>
        <w:pStyle w:val="Heading2"/>
        <w:spacing w:after="80" w:before="160"/>
        <w:jc w:val="left"/>
      </w:pPr>
      <w:r>
        <w:rPr>
          <w:rFonts w:ascii="Arial" w:cs="Arial" w:eastAsia="Arial" w:hAnsi="Arial"/>
          <w:b/>
          <w:bCs/>
          <w:color w:val="2E75B6"/>
          <w:sz w:val="22"/>
          <w:szCs w:val="22"/>
        </w:rPr>
        <w:t xml:space="preserve">Revenue Quality and Sustainability</w:t>
      </w:r>
    </w:p>
    <w:p>
      <w:pPr>
        <w:spacing w:after="80" w:before="80"/>
        <w:jc w:val="both"/>
      </w:pPr>
      <w:r>
        <w:rPr>
          <w:rFonts w:ascii="Arial" w:cs="Arial" w:eastAsia="Arial" w:hAnsi="Arial"/>
          <w:b w:val="false"/>
          <w:bCs w:val="false"/>
          <w:i w:val="false"/>
          <w:iCs w:val="false"/>
          <w:color w:val="000000"/>
          <w:sz w:val="18"/>
          <w:szCs w:val="18"/>
        </w:rPr>
        <w:t xml:space="preserve">Revenue quality is the strongest evidenced feature of this credit, and it rests on three independent confirmations rather than on assertion. Outward supplies declared in the income tax returns for both audited years agree with audited sales to the rupee — a nil variance against a 5% tolerance, which is a cleaner result than most MSME files produce. Bank credits across the three accounts for FY 2025–26 exceed net sales by 13.1%, which breaches the 10% threshold on its face, but the explanation is arithmetical rather than concerning: sales are stated net of goods and services tax while collections are gross of it, so on a like-for-like basis banked receipts equal 95.9% of GST-inclusive billings. Practically all of what the firm invoices reaches a bank account, and 82.4% of it reaches the account of the working capital lender.</w:t>
      </w:r>
    </w:p>
    <w:p>
      <w:pPr>
        <w:spacing w:after="80" w:before="80"/>
        <w:jc w:val="both"/>
      </w:pPr>
      <w:r>
        <w:rPr>
          <w:rFonts w:ascii="Arial" w:cs="Arial" w:eastAsia="Arial" w:hAnsi="Arial"/>
          <w:b w:val="false"/>
          <w:bCs w:val="false"/>
          <w:i w:val="false"/>
          <w:iCs w:val="false"/>
          <w:color w:val="000000"/>
          <w:sz w:val="18"/>
          <w:szCs w:val="18"/>
        </w:rPr>
        <w:t xml:space="preserve">The trajectory needs unpicking because the headline compounding of 31.0% since FY 2022–23 conceals a genuine reversal in between. Turnover fell in FY 2024–25 while receivables nearly tripled and debtor days rose from ten to thirty-two. Falling sales with rising receivables is the combination that normally signals either channel stuffing or a deliberate loosening of credit to defend volume, and the second reading is the more plausible here given that global cell prices were collapsing and the material margin simultaneously improved to its peak. What this suggests is a year in which the firm traded volume for price and extended terms to hold dealers — a defensible commercial choice, but one that shows how little cushion exists when the market moves.</w:t>
      </w:r>
    </w:p>
    <w:p>
      <w:pPr>
        <w:spacing w:after="80" w:before="80"/>
        <w:jc w:val="both"/>
      </w:pPr>
      <w:r>
        <w:rPr>
          <w:rFonts w:ascii="Arial" w:cs="Arial" w:eastAsia="Arial" w:hAnsi="Arial"/>
          <w:b w:val="false"/>
          <w:bCs w:val="false"/>
          <w:i w:val="false"/>
          <w:iCs w:val="false"/>
          <w:color w:val="000000"/>
          <w:sz w:val="18"/>
          <w:szCs w:val="18"/>
        </w:rPr>
        <w:t xml:space="preserve">The near doubling in FY 2025–26 then came with debtor days falling back to twenty, which is the more comfortable pattern: growth converting to cash rather than to paper. The concern shifts to the composition of that growth. The industrial material-handling channel that carries most of the incremental volume is barely a year old, with every purchase order on file dated June or July 2026, and it is the channel where the firm is a price-taker executing to customer drawings. Sustaining Rs. 30 crore of turnover on a five-year dealer network is one proposition; adding Rs. 20 crore of large-format industrial supply to unrated counterparties is another, and the second is what the projection assumes.</w:t>
      </w:r>
    </w:p>
    <w:p>
      <w:pPr>
        <w:pStyle w:val="Heading2"/>
        <w:spacing w:after="80" w:before="160"/>
        <w:jc w:val="left"/>
      </w:pPr>
      <w:r>
        <w:rPr>
          <w:rFonts w:ascii="Arial" w:cs="Arial" w:eastAsia="Arial" w:hAnsi="Arial"/>
          <w:b/>
          <w:bCs/>
          <w:color w:val="2E75B6"/>
          <w:sz w:val="22"/>
          <w:szCs w:val="22"/>
        </w:rPr>
        <w:t xml:space="preserve">Profitability and Margin Trajectory</w:t>
      </w:r>
    </w:p>
    <w:p>
      <w:pPr>
        <w:spacing w:after="80" w:before="80"/>
        <w:jc w:val="both"/>
      </w:pPr>
      <w:r>
        <w:rPr>
          <w:rFonts w:ascii="Arial" w:cs="Arial" w:eastAsia="Arial" w:hAnsi="Arial"/>
          <w:b w:val="false"/>
          <w:bCs w:val="false"/>
          <w:i w:val="false"/>
          <w:iCs w:val="false"/>
          <w:color w:val="000000"/>
          <w:sz w:val="18"/>
          <w:szCs w:val="18"/>
        </w:rPr>
        <w:t xml:space="preserve">The central fact is that scale has bought no margin. Turnover has roughly doubled since FY 2023–24 while the operating margin has moved within a band of four-tenths of a percentage point. For a manufacturer that is unusual; for an assembler buying a commodity cell and selling to price-sensitive dealers it is exactly what theory predicts, and it tells the committee that this business has no operating leverage to look forward to on the upside — only on the downside.</w:t>
      </w:r>
    </w:p>
    <w:p>
      <w:pPr>
        <w:spacing w:after="80" w:before="80"/>
        <w:jc w:val="both"/>
      </w:pPr>
      <w:r>
        <w:rPr>
          <w:rFonts w:ascii="Arial" w:cs="Arial" w:eastAsia="Arial" w:hAnsi="Arial"/>
          <w:b w:val="false"/>
          <w:bCs w:val="false"/>
          <w:i w:val="false"/>
          <w:iCs w:val="false"/>
          <w:color w:val="000000"/>
          <w:sz w:val="18"/>
          <w:szCs w:val="18"/>
        </w:rPr>
        <w:t xml:space="preserve">Benchmarked against the listed proxies, the gap is roughly seven percentage points at the operating line: Exide earned 11.3% and Amara Raja about 10.9% in the same year on turnovers respectively 560 and 440 times larger. As Section 3 sets out, those are not comparables, and the caveat matters — an integrated manufacturer captures cell margin and brand margin that an assembler never sees. The useful inference is not that this borrower underperforms but that the position it occupies in the chain structurally earns a third of what the position above it earns, and no amount of execution will change that while cells are bought rather than made.</w:t>
      </w:r>
    </w:p>
    <w:p>
      <w:pPr>
        <w:spacing w:after="80" w:before="80"/>
        <w:jc w:val="both"/>
      </w:pPr>
      <w:r>
        <w:rPr>
          <w:rFonts w:ascii="Arial" w:cs="Arial" w:eastAsia="Arial" w:hAnsi="Arial"/>
          <w:b/>
          <w:bCs/>
          <w:i w:val="false"/>
          <w:iCs w:val="false"/>
          <w:color w:val="000000"/>
          <w:sz w:val="18"/>
          <w:szCs w:val="18"/>
        </w:rPr>
        <w:t xml:space="preserve">The gross margin in the borrower’s own CMA is materially overstated and the committee should work from the recomputed figure. </w:t>
      </w:r>
      <w:r>
        <w:rPr>
          <w:rFonts w:ascii="Arial" w:cs="Arial" w:eastAsia="Arial" w:hAnsi="Arial"/>
          <w:b w:val="false"/>
          <w:bCs w:val="false"/>
          <w:i w:val="false"/>
          <w:iCs w:val="false"/>
          <w:color w:val="000000"/>
          <w:sz w:val="18"/>
          <w:szCs w:val="18"/>
        </w:rPr>
        <w:t xml:space="preserve">The CMA arrives at cost of goods sold using material cost alone, leaving direct wages and manufacturing expenses below the gross profit line, which produces reported gross margins of 16.9% and 21.0% for FY 2023–24 and FY 2024–25. Recomputed after direct labour, the true gross margins for those years are 10.7% and 12.4%. That is a difference of roughly nine percentage points on the FY 2024–25 figure and it changes the character of the business from comfortably profitable at the gross line to thin. On the consistent material-cost basis used in the locked table, the margin roughly doubled between FY 2022–23 and FY 2024–25 before easing — a movement that tracks the global fall in lithium cell prices almost exactly, and which therefore reflects input deflation rather than any improvement in pricing power. If cell prices stabilise or rise, that gain reverses.</w:t>
      </w:r>
    </w:p>
    <w:p>
      <w:pPr>
        <w:spacing w:after="80" w:before="80"/>
        <w:jc w:val="both"/>
      </w:pPr>
      <w:r>
        <w:rPr>
          <w:rFonts w:ascii="Arial" w:cs="Arial" w:eastAsia="Arial" w:hAnsi="Arial"/>
          <w:b/>
          <w:bCs/>
          <w:i w:val="false"/>
          <w:iCs w:val="false"/>
          <w:color w:val="000000"/>
          <w:sz w:val="18"/>
          <w:szCs w:val="18"/>
        </w:rPr>
        <w:t xml:space="preserve">A second adjustment is needed on profit itself. </w:t>
      </w:r>
      <w:r>
        <w:rPr>
          <w:rFonts w:ascii="Arial" w:cs="Arial" w:eastAsia="Arial" w:hAnsi="Arial"/>
          <w:b w:val="false"/>
          <w:bCs w:val="false"/>
          <w:i w:val="false"/>
          <w:iCs w:val="false"/>
          <w:color w:val="000000"/>
          <w:sz w:val="18"/>
          <w:szCs w:val="18"/>
        </w:rPr>
        <w:t xml:space="preserve">No tax provision appears in any of the four years — the audited FY 2024–25 profit and loss account shows the tax expense line blank and profit after tax identical to profit before tax — yet the income tax returns record taxes actually paid of Rs. 9.02 lakh and Rs. 7.49 lakh in the two audited years. Reported cash accruals therefore overstate retained cash by roughly 19% and 18% respectively, and on FY 2025–26 profit the unprovided liability at 30% plus cess would be of the order of Rs. 24 lakh on an analyst computation. This is not an irregularity — a partnership firm may treat tax as an appropriation from partner accounts — but every coverage ratio in the CMA is inflated by it, and the ratios in this memorandum are computed on the tax-adjusted basis wherever coverage is being tested.</w:t>
      </w:r>
    </w:p>
    <w:p>
      <w:pPr>
        <w:spacing w:after="80" w:before="80"/>
        <w:jc w:val="both"/>
      </w:pPr>
      <w:r>
        <w:rPr>
          <w:rFonts w:ascii="Arial" w:cs="Arial" w:eastAsia="Arial" w:hAnsi="Arial"/>
          <w:b w:val="false"/>
          <w:bCs w:val="false"/>
          <w:i w:val="false"/>
          <w:iCs w:val="false"/>
          <w:color w:val="000000"/>
          <w:sz w:val="18"/>
          <w:szCs w:val="18"/>
        </w:rPr>
        <w:t xml:space="preserve">It is also worth noting that reported profit already absorbs Rs. 48 lakh of partner remuneration charged above the line in FY 2025–26, whereas in FY 2022–23 the equivalent charge sat below the line as an appropriation. Before partner remuneration the business earned an operating margin of 5.6% in the latest year. That distinction matters twice over: it means the reported margin is a conservative presentation rather than a flattering one, and it identifies the largest discretionary item available if cash flow tightens.</w:t>
      </w:r>
    </w:p>
    <w:p>
      <w:pPr>
        <w:pStyle w:val="Heading2"/>
        <w:spacing w:after="80" w:before="160"/>
        <w:jc w:val="left"/>
      </w:pPr>
      <w:r>
        <w:rPr>
          <w:rFonts w:ascii="Arial" w:cs="Arial" w:eastAsia="Arial" w:hAnsi="Arial"/>
          <w:b/>
          <w:bCs/>
          <w:color w:val="2E75B6"/>
          <w:sz w:val="22"/>
          <w:szCs w:val="22"/>
        </w:rPr>
        <w:t xml:space="preserve">Capital Structure and Leverage</w:t>
      </w:r>
    </w:p>
    <w:p>
      <w:pPr>
        <w:spacing w:after="80" w:before="80"/>
        <w:jc w:val="both"/>
      </w:pPr>
      <w:r>
        <w:rPr>
          <w:rFonts w:ascii="Arial" w:cs="Arial" w:eastAsia="Arial" w:hAnsi="Arial"/>
          <w:b w:val="false"/>
          <w:bCs w:val="false"/>
          <w:i w:val="false"/>
          <w:iCs w:val="false"/>
          <w:color w:val="000000"/>
          <w:sz w:val="18"/>
          <w:szCs w:val="18"/>
        </w:rPr>
        <w:t xml:space="preserve">On the A3 leverage scale, total debt to adjusted tangible net worth at FY 2025–26 falls in the acceptable band for a growth-stage MSME, and the direction of travel is favourable — leverage improved during a year in which debt rose by nearly Rs. 91 lakh, because net worth rose faster. Total outside liabilities at 3.61 times net worth tell a less comfortable story, since they capture the Rs. 288 lakh of supplier credit that the debt ratio ignores, and that measure is the more honest description of how much of this balance sheet belongs to other people. Both measures deteriorate on the FY 2026–27 projection, which contemplates debt more than doubling.</w:t>
      </w:r>
    </w:p>
    <w:p>
      <w:pPr>
        <w:spacing w:after="80" w:before="80"/>
        <w:jc w:val="both"/>
      </w:pPr>
      <w:r>
        <w:rPr>
          <w:rFonts w:ascii="Arial" w:cs="Arial" w:eastAsia="Arial" w:hAnsi="Arial"/>
          <w:b w:val="false"/>
          <w:bCs w:val="false"/>
          <w:i w:val="false"/>
          <w:iCs w:val="false"/>
          <w:color w:val="000000"/>
          <w:sz w:val="18"/>
          <w:szCs w:val="18"/>
        </w:rPr>
        <w:t xml:space="preserve">The FY 2022–23 figures deserve a word because they look alarming. Leverage of 6.76 times and total outside liabilities of nearly fourteen times net worth reflect a firm two years old with Rs. 28 lakh of capital carrying a Rs. 140 lakh overdraft. That the partners have since taken net worth from Rs. 28 lakh to Rs. 181 lakh entirely out of retained profit and their own contributions, with no external equity and no dilution, is the single most reassuring fact in this section.</w:t>
      </w:r>
    </w:p>
    <w:p>
      <w:pPr>
        <w:spacing w:after="80" w:before="80"/>
        <w:jc w:val="both"/>
      </w:pPr>
      <w:r>
        <w:rPr>
          <w:rFonts w:ascii="Arial" w:cs="Arial" w:eastAsia="Arial" w:hAnsi="Arial"/>
          <w:b/>
          <w:bCs/>
          <w:i w:val="false"/>
          <w:iCs w:val="false"/>
          <w:color w:val="000000"/>
          <w:sz w:val="18"/>
          <w:szCs w:val="18"/>
        </w:rPr>
        <w:t xml:space="preserve">On the adjusted net worth computation, two decisions were made and both are conservative. </w:t>
      </w:r>
      <w:r>
        <w:rPr>
          <w:rFonts w:ascii="Arial" w:cs="Arial" w:eastAsia="Arial" w:hAnsi="Arial"/>
          <w:b w:val="false"/>
          <w:bCs w:val="false"/>
          <w:i w:val="false"/>
          <w:iCs w:val="false"/>
          <w:color w:val="000000"/>
          <w:sz w:val="18"/>
          <w:szCs w:val="18"/>
        </w:rPr>
        <w:t xml:space="preserve">Only Rs. 5.60 lakh of software has been deducted as intangible; the remainder of the fixed asset block is genuine plant, notwithstanding that the audited balance sheet misclassifies all of it under an intangibles heading. No amount has been treated as quasi-equity. That second decision is the material one: the Rs. 110.42 lakh of unsecured loans that appeared during FY 2025–26 might in another file have been promoter money eligible for subordination treatment, which would have lifted adjusted net worth to roughly Rs. 286 lakh and pulled leverage down to 1.12 times. The bank records show these credits coming from third parties with names like Jubilant Capital, Growth Capital and A Square Enterprises rather than from the partners, no subordination undertaking exists, and the sensitivity runs the other way: this is Rs. 110 lakh of callable money ranking alongside Evam rather than behind it. Until the terms are disclosed, the conservative treatment stands.</w:t>
      </w:r>
    </w:p>
    <w:p>
      <w:pPr>
        <w:spacing w:after="80" w:before="80"/>
        <w:jc w:val="both"/>
      </w:pPr>
      <w:r>
        <w:rPr>
          <w:rFonts w:ascii="Arial" w:cs="Arial" w:eastAsia="Arial" w:hAnsi="Arial"/>
          <w:b w:val="false"/>
          <w:bCs w:val="false"/>
          <w:i w:val="false"/>
          <w:iCs w:val="false"/>
          <w:color w:val="000000"/>
          <w:sz w:val="18"/>
          <w:szCs w:val="18"/>
        </w:rPr>
        <w:t xml:space="preserve">The blended cost of debt fell sharply in FY 2025–26 as CGTMSE-covered bank facilities and a SIDBI machinery loan at 9% displaced costlier borrowing, having run near 15% in the two preceding years. That improvement makes the proposed pricing look expensive against the latest year and reasonable against the firm's actual funding history — and it sits well below the 18% nominal and 20.3% effective rate the firm accepted from Tata Capital in February 2026, which is the most direct evidence available of what unsecured money costs this borrower at the margin.</w:t>
      </w:r>
    </w:p>
    <w:p>
      <w:pPr>
        <w:pStyle w:val="Heading2"/>
        <w:spacing w:after="80" w:before="160"/>
        <w:jc w:val="left"/>
      </w:pPr>
      <w:r>
        <w:rPr>
          <w:rFonts w:ascii="Arial" w:cs="Arial" w:eastAsia="Arial" w:hAnsi="Arial"/>
          <w:b/>
          <w:bCs/>
          <w:color w:val="2E75B6"/>
          <w:sz w:val="22"/>
          <w:szCs w:val="22"/>
        </w:rPr>
        <w:t xml:space="preserve">Debt Service Capacity</w:t>
      </w:r>
    </w:p>
    <w:p>
      <w:pPr>
        <w:spacing w:after="80" w:before="80"/>
        <w:jc w:val="both"/>
      </w:pPr>
      <w:r>
        <w:rPr>
          <w:rFonts w:ascii="Arial" w:cs="Arial" w:eastAsia="Arial" w:hAnsi="Arial"/>
          <w:b/>
          <w:bCs/>
          <w:i w:val="false"/>
          <w:iCs w:val="false"/>
          <w:color w:val="000000"/>
          <w:sz w:val="18"/>
          <w:szCs w:val="18"/>
        </w:rPr>
        <w:t xml:space="preserve">The borrower’s submission contains no true debt service coverage ratio. </w:t>
      </w:r>
      <w:r>
        <w:rPr>
          <w:rFonts w:ascii="Arial" w:cs="Arial" w:eastAsia="Arial" w:hAnsi="Arial"/>
          <w:b w:val="false"/>
          <w:bCs w:val="false"/>
          <w:i w:val="false"/>
          <w:iCs w:val="false"/>
          <w:color w:val="000000"/>
          <w:sz w:val="18"/>
          <w:szCs w:val="18"/>
        </w:rPr>
        <w:t xml:space="preserve">The line in the CMA labelled DSCR is arithmetically operating profit divided by interest — that is, interest coverage — and the line labelled interest coverage ratio is earnings before interest and tax divided by interest. No principal repayment appears in either denominator, notwithstanding seven amortising term facilities carrying combined equated instalments of Rs. 4.69 lakh a month. A committee reading the submitted figure would believe coverage was 4.43 times where the properly computed ratio is a little over half that.</w:t>
      </w:r>
    </w:p>
    <w:p>
      <w:pPr>
        <w:spacing w:after="80" w:before="80"/>
        <w:jc w:val="both"/>
      </w:pPr>
      <w:r>
        <w:rPr>
          <w:rFonts w:ascii="Arial" w:cs="Arial" w:eastAsia="Arial" w:hAnsi="Arial"/>
          <w:b w:val="false"/>
          <w:bCs w:val="false"/>
          <w:i w:val="false"/>
          <w:iCs w:val="false"/>
          <w:color w:val="000000"/>
          <w:sz w:val="18"/>
          <w:szCs w:val="18"/>
        </w:rPr>
        <w:t xml:space="preserve">Computed on the locked formula, annual term debt service is Rs. 56.25 lakh, of which Rs. 22.53 lakh is interest at a blended 10.93% and Rs. 33.72 lakh is scheduled principal. Against that, the management projection produces a DSCR of 2.75 times before tax and 2.20 times once the unprovided income tax is recognised — comfortable and adequate respectively on the A3 scale. The number the recommendation actually rests on, however, is the Analyst Base Case.</w:t>
      </w:r>
    </w:p>
    <w:p>
      <w:pPr>
        <w:pStyle w:val="Heading2"/>
        <w:spacing w:after="80" w:before="160"/>
        <w:jc w:val="left"/>
      </w:pPr>
      <w:r>
        <w:rPr>
          <w:rFonts w:ascii="Arial" w:cs="Arial" w:eastAsia="Arial" w:hAnsi="Arial"/>
          <w:b/>
          <w:bCs/>
          <w:color w:val="2E75B6"/>
          <w:sz w:val="22"/>
          <w:szCs w:val="22"/>
        </w:rPr>
        <w:t xml:space="preserve">Analyst Base Case</w:t>
      </w:r>
    </w:p>
    <w:p>
      <w:pPr>
        <w:spacing w:after="80" w:before="80"/>
        <w:jc w:val="both"/>
      </w:pPr>
      <w:r>
        <w:rPr>
          <w:rFonts w:ascii="Arial" w:cs="Arial" w:eastAsia="Arial" w:hAnsi="Arial"/>
          <w:b w:val="false"/>
          <w:bCs w:val="false"/>
          <w:i w:val="false"/>
          <w:iCs w:val="false"/>
          <w:color w:val="000000"/>
          <w:sz w:val="18"/>
          <w:szCs w:val="18"/>
        </w:rPr>
        <w:t xml:space="preserve">The projection discipline triggers fired: management projects 63.6% revenue growth against a historical audited compound rate of 8.2%, exceeding both the absolute 25% threshold and the multiple of historical CAGR. The margin trigger did not fire, since projected operating margin is marginally below the latest audited level — which is itself a point in the projection's favour, as it is a volume forecast rather than a margin forecast. Growth has accordingly been capped at 15% on the provisional base and the operating margin held at the latest audited level, with interest rebuilt from the facilities actually contemplated and tax provided at 31.2%.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 2026–27 assessment</w:t>
            </w:r>
          </w:p>
        </w:tc>
        <w:tc>
          <w:tcPr>
            <w:tcW w:type="dxa" w:w="28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Management Case</w:t>
            </w:r>
          </w:p>
        </w:tc>
        <w:tc>
          <w:tcPr>
            <w:tcW w:type="dxa" w:w="28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Analyst Base Case</w:t>
            </w:r>
          </w:p>
        </w:tc>
      </w:tr>
      <w:tr>
        <w:trPr>
          <w:tblHeader w:val="false"/>
        </w:trPr>
        <w:tc>
          <w:tcPr>
            <w:tcW w:type="dxa" w:w="3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Net Sales</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5,040.0</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3,542.8</w:t>
            </w:r>
          </w:p>
        </w:tc>
      </w:tr>
      <w:tr>
        <w:trPr>
          <w:tblHeader w:val="false"/>
        </w:trPr>
        <w:tc>
          <w:tcPr>
            <w:tcW w:type="dxa" w:w="3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Revenue growth on FY26 (%)</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63.6</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15.0</w:t>
            </w:r>
          </w:p>
        </w:tc>
      </w:tr>
      <w:tr>
        <w:trPr>
          <w:tblHeader w:val="false"/>
        </w:trPr>
        <w:tc>
          <w:tcPr>
            <w:tcW w:type="dxa" w:w="3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PBDIT</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196.7</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141.7</w:t>
            </w:r>
          </w:p>
        </w:tc>
      </w:tr>
      <w:tr>
        <w:trPr>
          <w:tblHeader w:val="false"/>
        </w:trPr>
        <w:tc>
          <w:tcPr>
            <w:tcW w:type="dxa" w:w="3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PBDIT Margin (%)</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3.9</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4.0</w:t>
            </w:r>
          </w:p>
        </w:tc>
      </w:tr>
      <w:tr>
        <w:trPr>
          <w:tblHeader w:val="false"/>
        </w:trPr>
        <w:tc>
          <w:tcPr>
            <w:tcW w:type="dxa" w:w="3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Depreciation</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31.6</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31.6</w:t>
            </w:r>
          </w:p>
        </w:tc>
      </w:tr>
      <w:tr>
        <w:trPr>
          <w:tblHeader w:val="false"/>
        </w:trPr>
        <w:tc>
          <w:tcPr>
            <w:tcW w:type="dxa" w:w="3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Interest</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64.3</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58.8</w:t>
            </w:r>
          </w:p>
        </w:tc>
      </w:tr>
      <w:tr>
        <w:trPr>
          <w:tblHeader w:val="false"/>
        </w:trPr>
        <w:tc>
          <w:tcPr>
            <w:tcW w:type="dxa" w:w="3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PBT</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100.8</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51.2</w:t>
            </w:r>
          </w:p>
        </w:tc>
      </w:tr>
      <w:tr>
        <w:trPr>
          <w:tblHeader w:val="false"/>
        </w:trPr>
        <w:tc>
          <w:tcPr>
            <w:tcW w:type="dxa" w:w="3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Tax at 31.2%</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 provided</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15.99</w:t>
            </w:r>
          </w:p>
        </w:tc>
      </w:tr>
      <w:tr>
        <w:trPr>
          <w:tblHeader w:val="false"/>
        </w:trPr>
        <w:tc>
          <w:tcPr>
            <w:tcW w:type="dxa" w:w="3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PAT</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100.8</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35.3</w:t>
            </w:r>
          </w:p>
        </w:tc>
      </w:tr>
      <w:tr>
        <w:trPr>
          <w:tblHeader w:val="false"/>
        </w:trPr>
        <w:tc>
          <w:tcPr>
            <w:tcW w:type="dxa" w:w="3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Cash Accruals</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132.4</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66.9</w:t>
            </w:r>
          </w:p>
        </w:tc>
      </w:tr>
      <w:tr>
        <w:trPr>
          <w:tblHeader w:val="false"/>
        </w:trPr>
        <w:tc>
          <w:tcPr>
            <w:tcW w:type="dxa" w:w="3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Interest Coverage (x)</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3.06</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2.41</w:t>
            </w:r>
          </w:p>
        </w:tc>
      </w:tr>
      <w:tr>
        <w:trPr>
          <w:tblHeader w:val="false"/>
        </w:trPr>
        <w:tc>
          <w:tcPr>
            <w:tcW w:type="dxa" w:w="3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DSCR — pre-tax (x)</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2.75</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r>
      <w:tr>
        <w:trPr>
          <w:tblHeader w:val="false"/>
        </w:trPr>
        <w:tc>
          <w:tcPr>
            <w:tcW w:type="dxa" w:w="3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DSCR — tax-adjusted (x)</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2.20</w:t>
            </w:r>
          </w:p>
        </w:tc>
        <w:tc>
          <w:tcPr>
            <w:tcW w:type="dxa" w:w="2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1.59</w:t>
            </w:r>
          </w:p>
        </w:tc>
      </w:tr>
      <w:tr>
        <w:trPr>
          <w:tblHeader w:val="false"/>
        </w:trPr>
        <w:tc>
          <w:tcPr>
            <w:tcW w:type="dxa" w:w="3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Post-stress DSCR, revenue −20% (x)</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c>
          <w:tcPr>
            <w:tcW w:type="dxa" w:w="2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(0.77)</w:t>
            </w:r>
          </w:p>
        </w:tc>
      </w:tr>
    </w:tbl>
    <w:p>
      <w:pPr>
        <w:spacing w:after="80" w:before="80"/>
        <w:jc w:val="both"/>
      </w:pPr>
      <w:r>
        <w:rPr>
          <w:rFonts w:ascii="Arial" w:cs="Arial" w:eastAsia="Arial" w:hAnsi="Arial"/>
          <w:b w:val="false"/>
          <w:bCs w:val="false"/>
          <w:i/>
          <w:iCs/>
          <w:color w:val="000000"/>
          <w:sz w:val="18"/>
          <w:szCs w:val="18"/>
        </w:rPr>
        <w:t xml:space="preserve">Rs. lakh. Analyst Base Case interest derived as Evam Rs. 100 lakh at 15.00% plus Bank of India cash credit Rs. 250 lakh at approximately 8.50% plus term debt interest of Rs. 22.53 lakh.</w:t>
      </w:r>
    </w:p>
    <w:p>
      <w:pPr>
        <w:spacing w:after="80" w:before="80"/>
        <w:jc w:val="both"/>
      </w:pPr>
      <w:r>
        <w:rPr>
          <w:rFonts w:ascii="Arial" w:cs="Arial" w:eastAsia="Arial" w:hAnsi="Arial"/>
          <w:b/>
          <w:bCs/>
          <w:i w:val="false"/>
          <w:iCs w:val="false"/>
          <w:color w:val="000000"/>
          <w:sz w:val="18"/>
          <w:szCs w:val="18"/>
        </w:rPr>
        <w:t xml:space="preserve">A DSCR of 1.59 times on the Analyst Base Case falls in the adequate band and is the standard against which this facility should be judged. </w:t>
      </w:r>
      <w:r>
        <w:rPr>
          <w:rFonts w:ascii="Arial" w:cs="Arial" w:eastAsia="Arial" w:hAnsi="Arial"/>
          <w:b w:val="false"/>
          <w:bCs w:val="false"/>
          <w:i w:val="false"/>
          <w:iCs w:val="false"/>
          <w:color w:val="000000"/>
          <w:sz w:val="18"/>
          <w:szCs w:val="18"/>
        </w:rPr>
        <w:t xml:space="preserve">It means the firm can grow at a modest 15%, provide fully for a tax charge it has never booked, service every existing amortising facility and still cover its obligations 1.59 times. That conclusion does not depend on the industrial channel scaling, on the order book converting, or on any margin improvement. It is a reasonable place from which to lend Rs. 1 crore for twelve months.</w:t>
      </w:r>
    </w:p>
    <w:p>
      <w:pPr>
        <w:spacing w:after="80" w:before="80"/>
        <w:jc w:val="both"/>
      </w:pPr>
      <w:r>
        <w:rPr>
          <w:rFonts w:ascii="Arial" w:cs="Arial" w:eastAsia="Arial" w:hAnsi="Arial"/>
          <w:b/>
          <w:bCs/>
          <w:i w:val="false"/>
          <w:iCs w:val="false"/>
          <w:color w:val="000000"/>
          <w:sz w:val="18"/>
          <w:szCs w:val="18"/>
        </w:rPr>
        <w:t xml:space="preserve">The revenue stress result is where the committee should pause. </w:t>
      </w:r>
      <w:r>
        <w:rPr>
          <w:rFonts w:ascii="Arial" w:cs="Arial" w:eastAsia="Arial" w:hAnsi="Arial"/>
          <w:b w:val="false"/>
          <w:bCs w:val="false"/>
          <w:i w:val="false"/>
          <w:iCs w:val="false"/>
          <w:color w:val="000000"/>
          <w:sz w:val="18"/>
          <w:szCs w:val="18"/>
        </w:rPr>
        <w:t xml:space="preserve">Holding material margin at the latest audited level and non-material costs flat, a 20% fall in turnover eliminates operating profit entirely and produces a cash deficit of Rs. 99.50 lakh against term debt service. The test is deliberately severe — roughly a third of the cost base is genuinely variable, including transportation of Rs. 39.99 lakh and packing of Rs. 17.27 lakh, and the Rs. 48 lakh of partner remuneration is discretionary, so suspending remuneration alone restores operating profit to positive. The conclusion nonetheless holds and is important: on an 18–21% material margin against roughly Rs. 602 lakh of non-material cost, this business has very high operating leverage and cannot absorb a fifth of its volume disappearing. The protection Evam has against that outcome is not the borrower's margin but the shape of the facility — tranches of 30 to 120 days repaid bullet, which allow Evam to decline to revolve inside a single cycle rather than being locked into a term exposure.</w:t>
      </w:r>
    </w:p>
    <w:p>
      <w:pPr>
        <w:pStyle w:val="Heading2"/>
        <w:spacing w:after="80" w:before="160"/>
        <w:jc w:val="left"/>
      </w:pPr>
      <w:r>
        <w:rPr>
          <w:rFonts w:ascii="Arial" w:cs="Arial" w:eastAsia="Arial" w:hAnsi="Arial"/>
          <w:b/>
          <w:bCs/>
          <w:color w:val="2E75B6"/>
          <w:sz w:val="22"/>
          <w:szCs w:val="22"/>
        </w:rPr>
        <w:t xml:space="preserve">Working Capital Dynamics</w:t>
      </w:r>
    </w:p>
    <w:p>
      <w:pPr>
        <w:spacing w:after="80" w:before="80"/>
        <w:jc w:val="both"/>
      </w:pPr>
      <w:r>
        <w:rPr>
          <w:rFonts w:ascii="Arial" w:cs="Arial" w:eastAsia="Arial" w:hAnsi="Arial"/>
          <w:b w:val="false"/>
          <w:bCs w:val="false"/>
          <w:i w:val="false"/>
          <w:iCs w:val="false"/>
          <w:color w:val="000000"/>
          <w:sz w:val="18"/>
          <w:szCs w:val="18"/>
        </w:rPr>
        <w:t xml:space="preserve">The order-to-cash journey now runs to roughly fifty days and has lengthened by thirty-eight days in three years. Every day of that deterioration is attributable to stock. Receivables collect in three weeks and, adjusting for the goods and services tax embedded in the debtor balance but absent from reported sales, true customer credit is nearer seventeen days — genuinely tight for an MSME selling to a hundred small dealers, and a credit to the collection discipline evidenced by thousands of small monthly receipts. Supplier credit has held broadly steady in the high thirties. Inventory, by contrast, has stretched from thirty-eight days to sixty-seven.</w:t>
      </w:r>
    </w:p>
    <w:p>
      <w:pPr>
        <w:spacing w:after="80" w:before="80"/>
        <w:jc w:val="both"/>
      </w:pPr>
      <w:r>
        <w:rPr>
          <w:rFonts w:ascii="Arial" w:cs="Arial" w:eastAsia="Arial" w:hAnsi="Arial"/>
          <w:b/>
          <w:bCs/>
          <w:i w:val="false"/>
          <w:iCs w:val="false"/>
          <w:color w:val="000000"/>
          <w:sz w:val="18"/>
          <w:szCs w:val="18"/>
        </w:rPr>
        <w:t xml:space="preserve">Debtor quality, from the ageing schedule, is better than the concentration figures suggest. </w:t>
      </w:r>
      <w:r>
        <w:rPr>
          <w:rFonts w:ascii="Arial" w:cs="Arial" w:eastAsia="Arial" w:hAnsi="Arial"/>
          <w:b w:val="false"/>
          <w:bCs w:val="false"/>
          <w:i w:val="false"/>
          <w:iCs w:val="false"/>
          <w:color w:val="000000"/>
          <w:sz w:val="18"/>
          <w:szCs w:val="18"/>
        </w:rPr>
        <w:t xml:space="preserve">Just over seven-tenths of the book is inside thirty days and almost eighty-four per cent inside sixty. Two limitations must be recorded, though. The schedule provides no bucket beyond "over 60 days", so accounts at ninety or a hundred and eighty days past due cannot be identified at all, and a book with no visible tail is not the same as a book with no tail. And the schedule is undated: its total exceeds the balance sheet receivable figure by 18.9% against a 3% tolerance, which almost certainly reflects a current July position rather than a March one, but that cannot be confirmed and the reconciliation therefore fails. The book also contains no government or public sector receivable whatsoever, so it carries none of the slow-but-certain paper that ordinarily cushions an MSME pool in a downturn.</w:t>
      </w:r>
    </w:p>
    <w:p>
      <w:pPr>
        <w:spacing w:after="80" w:before="80"/>
        <w:jc w:val="both"/>
      </w:pPr>
      <w:r>
        <w:rPr>
          <w:rFonts w:ascii="Arial" w:cs="Arial" w:eastAsia="Arial" w:hAnsi="Arial"/>
          <w:b/>
          <w:bCs/>
          <w:i w:val="false"/>
          <w:iCs w:val="false"/>
          <w:color w:val="000000"/>
          <w:sz w:val="18"/>
          <w:szCs w:val="18"/>
        </w:rPr>
        <w:t xml:space="preserve">The debtor stretch test quantifies the exposure precisely. </w:t>
      </w:r>
      <w:r>
        <w:rPr>
          <w:rFonts w:ascii="Arial" w:cs="Arial" w:eastAsia="Arial" w:hAnsi="Arial"/>
          <w:b w:val="false"/>
          <w:bCs w:val="false"/>
          <w:i w:val="false"/>
          <w:iCs w:val="false"/>
          <w:color w:val="000000"/>
          <w:sz w:val="18"/>
          <w:szCs w:val="18"/>
        </w:rPr>
        <w:t xml:space="preserve">A thirty-day deterioration in collection on the Analyst Base Case turnover absorbs a further Rs. 291.19 lakh of working capital; on management's turnover it absorbs Rs. 414.25 lakh. The full Evam limit meets a third of the first figure. Bank of India offers nothing, being drawn at 100.8% of its limit. Even a more calibrated fifteen-day stretch requires Rs. 145.59 lakh and exceeds the proposed facility on its own. From a base of twenty days a thirty-day stretch is a severe assumption, but it is the right test for a book whose largest single order sits with an unrated partnership firm, and it establishes that the facility is sized for the current cycle and offers no cushion for a deteriorating one.</w:t>
      </w:r>
    </w:p>
    <w:p>
      <w:pPr>
        <w:spacing w:after="80" w:before="80"/>
        <w:jc w:val="both"/>
      </w:pPr>
      <w:r>
        <w:rPr>
          <w:rFonts w:ascii="Arial" w:cs="Arial" w:eastAsia="Arial" w:hAnsi="Arial"/>
          <w:b/>
          <w:bCs/>
          <w:i w:val="false"/>
          <w:iCs w:val="false"/>
          <w:color w:val="000000"/>
          <w:sz w:val="18"/>
          <w:szCs w:val="18"/>
        </w:rPr>
        <w:t xml:space="preserve">Inventory is the issue that should dominate the pre-sanction meeting. </w:t>
      </w:r>
      <w:r>
        <w:rPr>
          <w:rFonts w:ascii="Arial" w:cs="Arial" w:eastAsia="Arial" w:hAnsi="Arial"/>
          <w:b w:val="false"/>
          <w:bCs w:val="false"/>
          <w:i w:val="false"/>
          <w:iCs w:val="false"/>
          <w:color w:val="000000"/>
          <w:sz w:val="18"/>
          <w:szCs w:val="18"/>
        </w:rPr>
        <w:t xml:space="preserve">Stock now accounts for 67.7% of current assets and 55.4% of the entire balance sheet, having grown half again as fast as revenue over the year and lengthened in each of three consecutive years. There are two readings and the documents do not allow a choice between them. The benign reading is a deliberate pre-buy of cells for the large-format industrial orders now in hand, taken while cell prices were falling and lead times were long — which would be sound commercial judgement. The adverse reading is accumulating slow-moving stock in chemistries or formats that are no longer selling, in an input whose price has been declining and whose specifications move. Because Evam's security is a charge over current assets of which stock is two-thirds, this distinction is not an operational nicety; it is the difference between 1.09 times cover and being unsecured. A stock ageing statement and physical verification are conditions precedent, not review items.</w:t>
      </w:r>
    </w:p>
    <w:p>
      <w:pPr>
        <w:pStyle w:val="Heading2"/>
        <w:spacing w:after="80" w:before="160"/>
        <w:jc w:val="left"/>
      </w:pPr>
      <w:r>
        <w:rPr>
          <w:rFonts w:ascii="Arial" w:cs="Arial" w:eastAsia="Arial" w:hAnsi="Arial"/>
          <w:b/>
          <w:bCs/>
          <w:color w:val="2E75B6"/>
          <w:sz w:val="22"/>
          <w:szCs w:val="22"/>
        </w:rPr>
        <w:t xml:space="preserve">Cash Flow Analysis</w:t>
      </w:r>
    </w:p>
    <w:p>
      <w:pPr>
        <w:spacing w:after="80" w:before="80"/>
        <w:jc w:val="both"/>
      </w:pPr>
      <w:r>
        <w:rPr>
          <w:rFonts w:ascii="Arial" w:cs="Arial" w:eastAsia="Arial" w:hAnsi="Arial"/>
          <w:b w:val="false"/>
          <w:bCs w:val="false"/>
          <w:i w:val="false"/>
          <w:iCs w:val="false"/>
          <w:color w:val="000000"/>
          <w:sz w:val="18"/>
          <w:szCs w:val="18"/>
        </w:rPr>
        <w:t xml:space="preserve">No cash flow statement was prepared in any year, so one has been reconstructed from successive balance sheets; it ties to the movement in cash to within Rs. 0.01 lakh, which gives reasonable confidence in the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 2025–26 reconstructed cash flow (Rs. lakh)</w:t>
            </w:r>
          </w:p>
        </w:tc>
        <w:tc>
          <w:tcPr>
            <w:tcW w:type="dxa" w:w="23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Sources</w:t>
            </w:r>
          </w:p>
        </w:tc>
        <w:tc>
          <w:tcPr>
            <w:tcW w:type="dxa" w:w="23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Uses</w:t>
            </w:r>
          </w:p>
        </w:tc>
      </w:tr>
      <w:tr>
        <w:trPr>
          <w:tblHeader w:val="false"/>
        </w:trPr>
        <w:tc>
          <w:tcPr>
            <w:tcW w:type="dxa" w:w="46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Profit after tax and depreciation</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99.5</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r>
        <w:trPr>
          <w:tblHeader w:val="false"/>
        </w:trPr>
        <w:tc>
          <w:tcPr>
            <w:tcW w:type="dxa" w:w="46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Increase in trade payables</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158.7</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r>
        <w:trPr>
          <w:tblHeader w:val="false"/>
        </w:trPr>
        <w:tc>
          <w:tcPr>
            <w:tcW w:type="dxa" w:w="46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Increase in other current liabilities and provisions</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25.4</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r>
        <w:trPr>
          <w:tblHeader w:val="false"/>
        </w:trPr>
        <w:tc>
          <w:tcPr>
            <w:tcW w:type="dxa" w:w="46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New third-party unsecured loans</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110.4</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r>
        <w:trPr>
          <w:tblHeader w:val="false"/>
        </w:trPr>
        <w:tc>
          <w:tcPr>
            <w:tcW w:type="dxa" w:w="46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Net partner capital introduced / retained</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26.8</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r>
        <w:trPr>
          <w:tblHeader w:val="false"/>
        </w:trPr>
        <w:tc>
          <w:tcPr>
            <w:tcW w:type="dxa" w:w="46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Repayment of bank short-term and long-term debt</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19.8</w:t>
            </w:r>
          </w:p>
        </w:tc>
      </w:tr>
      <w:tr>
        <w:trPr>
          <w:tblHeader w:val="false"/>
        </w:trPr>
        <w:tc>
          <w:tcPr>
            <w:tcW w:type="dxa" w:w="46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Increase in inventory</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280.6</w:t>
            </w:r>
          </w:p>
        </w:tc>
      </w:tr>
      <w:tr>
        <w:trPr>
          <w:tblHeader w:val="false"/>
        </w:trPr>
        <w:tc>
          <w:tcPr>
            <w:tcW w:type="dxa" w:w="46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Increase in trade receivables</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31.6</w:t>
            </w:r>
          </w:p>
        </w:tc>
      </w:tr>
      <w:tr>
        <w:trPr>
          <w:tblHeader w:val="false"/>
        </w:trPr>
        <w:tc>
          <w:tcPr>
            <w:tcW w:type="dxa" w:w="46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Increase in loans, advances and deposits</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8.9</w:t>
            </w:r>
          </w:p>
        </w:tc>
      </w:tr>
      <w:tr>
        <w:trPr>
          <w:tblHeader w:val="false"/>
        </w:trPr>
        <w:tc>
          <w:tcPr>
            <w:tcW w:type="dxa" w:w="46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Capital expenditure</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72.9</w:t>
            </w:r>
          </w:p>
        </w:tc>
      </w:tr>
      <w:tr>
        <w:trPr>
          <w:tblHeader w:val="false"/>
        </w:trPr>
        <w:tc>
          <w:tcPr>
            <w:tcW w:type="dxa" w:w="46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420.8</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413.7</w:t>
            </w:r>
          </w:p>
        </w:tc>
      </w:tr>
      <w:tr>
        <w:trPr>
          <w:tblHeader w:val="false"/>
        </w:trPr>
        <w:tc>
          <w:tcPr>
            <w:tcW w:type="dxa" w:w="46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Net increase in cash (reconciles to actual movement of 7.05)</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7.0</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bl>
    <w:p>
      <w:pPr>
        <w:spacing w:after="80" w:before="80"/>
        <w:jc w:val="both"/>
      </w:pPr>
      <w:r>
        <w:rPr>
          <w:rFonts w:ascii="Arial" w:cs="Arial" w:eastAsia="Arial" w:hAnsi="Arial"/>
          <w:b/>
          <w:bCs/>
          <w:i w:val="false"/>
          <w:iCs w:val="false"/>
          <w:color w:val="000000"/>
          <w:sz w:val="18"/>
          <w:szCs w:val="18"/>
        </w:rPr>
        <w:t xml:space="preserve">The answer to where the cash went is unambiguous, and it is the commercial case for this facility. </w:t>
      </w:r>
      <w:r>
        <w:rPr>
          <w:rFonts w:ascii="Arial" w:cs="Arial" w:eastAsia="Arial" w:hAnsi="Arial"/>
          <w:b w:val="false"/>
          <w:bCs w:val="false"/>
          <w:i w:val="false"/>
          <w:iCs w:val="false"/>
          <w:color w:val="000000"/>
          <w:sz w:val="18"/>
          <w:szCs w:val="18"/>
        </w:rPr>
        <w:t xml:space="preserve">Inventory and fixed assets absorbed roughly Rs. 353 lakh in a single year against cash accruals of under Rs. 100 lakh. The gap was bridged by stretching suppliers, by taking Rs. 110 lakh of third-party unsecured money, and by the partners putting more in than they took out. Operating cash flow for the year was negative Rs. 31.97 lakh and free cash flow negative Rs. 104.84 lakh.</w:t>
      </w:r>
    </w:p>
    <w:p>
      <w:pPr>
        <w:spacing w:after="80" w:before="80"/>
        <w:jc w:val="both"/>
      </w:pPr>
      <w:r>
        <w:rPr>
          <w:rFonts w:ascii="Arial" w:cs="Arial" w:eastAsia="Arial" w:hAnsi="Arial"/>
          <w:b/>
          <w:bCs/>
          <w:i w:val="false"/>
          <w:iCs w:val="false"/>
          <w:color w:val="000000"/>
          <w:sz w:val="18"/>
          <w:szCs w:val="18"/>
        </w:rPr>
        <w:t xml:space="preserve">Two conclusions follow, pointing in opposite directions. </w:t>
      </w:r>
      <w:r>
        <w:rPr>
          <w:rFonts w:ascii="Arial" w:cs="Arial" w:eastAsia="Arial" w:hAnsi="Arial"/>
          <w:b w:val="false"/>
          <w:bCs w:val="false"/>
          <w:i w:val="false"/>
          <w:iCs w:val="false"/>
          <w:color w:val="000000"/>
          <w:sz w:val="18"/>
          <w:szCs w:val="18"/>
        </w:rPr>
        <w:t xml:space="preserve">The first is that this business does not self-fund its growth and will not do so at these margins — which is precisely why a formal working capital line from a regulated lender, replacing informal borrowing at unknown terms, is the right product and improves rather than worsens the borrower's risk profile. The second is that negative free cash flow at a 4% operating margin means every rupee of growth must be externally funded, so the firm's appetite for limit will keep rising faster than its capacity to service it. That is an argument for reviewing this limit annually against delivered performance rather than against the next projection.</w:t>
      </w:r>
    </w:p>
    <w:p>
      <w:pPr>
        <w:pStyle w:val="Heading2"/>
        <w:spacing w:after="80" w:before="160"/>
        <w:jc w:val="left"/>
      </w:pPr>
      <w:r>
        <w:rPr>
          <w:rFonts w:ascii="Arial" w:cs="Arial" w:eastAsia="Arial" w:hAnsi="Arial"/>
          <w:b/>
          <w:bCs/>
          <w:color w:val="2E75B6"/>
          <w:sz w:val="22"/>
          <w:szCs w:val="22"/>
        </w:rPr>
        <w:t xml:space="preserve">Accounting Observations</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No income tax provision in any of the four years, </w:t>
      </w:r>
      <w:r>
        <w:rPr>
          <w:rFonts w:ascii="Arial" w:cs="Arial" w:eastAsia="Arial" w:hAnsi="Arial"/>
          <w:b w:val="false"/>
          <w:bCs w:val="false"/>
          <w:i w:val="false"/>
          <w:iCs w:val="false"/>
          <w:color w:val="000000"/>
          <w:sz w:val="18"/>
          <w:szCs w:val="18"/>
        </w:rPr>
        <w:t xml:space="preserve">against taxes actually paid per the returns. Discussed above; the effect is to overstate reported accruals and every coverage ratio derived from them.</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The entire fixed asset block is classified as "Intangible Assets" in the FY 2024–25 audited balance sheet at note 8, </w:t>
      </w:r>
      <w:r>
        <w:rPr>
          <w:rFonts w:ascii="Arial" w:cs="Arial" w:eastAsia="Arial" w:hAnsi="Arial"/>
          <w:b w:val="false"/>
          <w:bCs w:val="false"/>
          <w:i w:val="false"/>
          <w:iCs w:val="false"/>
          <w:color w:val="000000"/>
          <w:sz w:val="18"/>
          <w:szCs w:val="18"/>
        </w:rPr>
        <w:t xml:space="preserve">when the underlying assets are machinery, vehicles, furniture and computers. The CMA preparer identified this independently. Only Rs. 5.60 lakh of software is genuinely intangible.</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Presentation basis changed between years. </w:t>
      </w:r>
      <w:r>
        <w:rPr>
          <w:rFonts w:ascii="Arial" w:cs="Arial" w:eastAsia="Arial" w:hAnsi="Arial"/>
          <w:b w:val="false"/>
          <w:bCs w:val="false"/>
          <w:i w:val="false"/>
          <w:iCs w:val="false"/>
          <w:color w:val="000000"/>
          <w:sz w:val="18"/>
          <w:szCs w:val="18"/>
        </w:rPr>
        <w:t xml:space="preserve">Partner remuneration was an appropriation below the profit line in FY 2022–23 and FY 2023–24 as presented in the trading account, and is charged above the line in the FY 2025–26 provisional accounts. The FY 2024–25 audited statements adopted Schedule III format with a separate "Profit before Partners’ Remuneration and Tax" line, which is the clearest presentation of the four. Comparability across the series requires the adjustment made in the locked table.</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Shipping cost recovery of Rs. 3.74 lakh is classified as other income in FY 2025–26 </w:t>
      </w:r>
      <w:r>
        <w:rPr>
          <w:rFonts w:ascii="Arial" w:cs="Arial" w:eastAsia="Arial" w:hAnsi="Arial"/>
          <w:b w:val="false"/>
          <w:bCs w:val="false"/>
          <w:i w:val="false"/>
          <w:iCs w:val="false"/>
          <w:color w:val="000000"/>
          <w:sz w:val="18"/>
          <w:szCs w:val="18"/>
        </w:rPr>
        <w:t xml:space="preserve">rather than netted against freight expense — flagged by the CMA preparer and immaterial, but it inflates other income and slightly understates operating cost.</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Gross block and accumulated depreciation are not disclosed in any year. </w:t>
      </w:r>
      <w:r>
        <w:rPr>
          <w:rFonts w:ascii="Arial" w:cs="Arial" w:eastAsia="Arial" w:hAnsi="Arial"/>
          <w:b w:val="false"/>
          <w:bCs w:val="false"/>
          <w:i w:val="false"/>
          <w:iCs w:val="false"/>
          <w:color w:val="000000"/>
          <w:sz w:val="18"/>
          <w:szCs w:val="18"/>
        </w:rPr>
        <w:t xml:space="preserve">The Tally-generated provisional balance sheet shows only the current year’s depreciation reserve of Rs. 22.59 lakh against net asset values, so asset age and remaining life cannot be assessed. This information is not available in the documents provided and should be obtained in the management meeting.</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Recurring disallowances for statutory dues. </w:t>
      </w:r>
      <w:r>
        <w:rPr>
          <w:rFonts w:ascii="Arial" w:cs="Arial" w:eastAsia="Arial" w:hAnsi="Arial"/>
          <w:b w:val="false"/>
          <w:bCs w:val="false"/>
          <w:i w:val="false"/>
          <w:iCs w:val="false"/>
          <w:color w:val="000000"/>
          <w:sz w:val="18"/>
          <w:szCs w:val="18"/>
        </w:rPr>
        <w:t xml:space="preserve">Late remittance of provident fund and employee state insurance was disallowed in FY 2022–23, FY 2023–24 and FY 2024–25, and a Rs. 2.33 lakh disallowance for tax not deducted at source arose in FY 2022–23. The FY 2024–25 difference between taxable business income and audited profit reconciles exactly to these items, so the accounts and the return are consistent; the pattern of late payment is the observation.</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Internal inconsistencies in the borrower’s own schedules. </w:t>
      </w:r>
      <w:r>
        <w:rPr>
          <w:rFonts w:ascii="Arial" w:cs="Arial" w:eastAsia="Arial" w:hAnsi="Arial"/>
          <w:b w:val="false"/>
          <w:bCs w:val="false"/>
          <w:i w:val="false"/>
          <w:iCs w:val="false"/>
          <w:color w:val="000000"/>
          <w:sz w:val="18"/>
          <w:szCs w:val="18"/>
        </w:rPr>
        <w:t xml:space="preserve">The debt profile records a vehicle loan with a disbursal date in December 2026, an instalment end date in April 2026 and an outstanding balance exceeding its sanction — a combination that cannot be correct. The bank overdraft in the provisional balance sheet exceeds the cash credit statement balance at the same date by roughly Rs. 49.6 lakh. Neither is explained.</w:t>
      </w:r>
    </w:p>
    <w:p>
      <w:pPr>
        <w:pStyle w:val="Heading2"/>
        <w:spacing w:after="80" w:before="160"/>
        <w:jc w:val="left"/>
      </w:pPr>
      <w:r>
        <w:rPr>
          <w:rFonts w:ascii="Arial" w:cs="Arial" w:eastAsia="Arial" w:hAnsi="Arial"/>
          <w:b/>
          <w:bCs/>
          <w:color w:val="2E75B6"/>
          <w:sz w:val="22"/>
          <w:szCs w:val="22"/>
        </w:rPr>
        <w:t xml:space="preserve">Contingent Liabilities and Related Party Transactions</w:t>
      </w:r>
    </w:p>
    <w:p>
      <w:pPr>
        <w:spacing w:after="80" w:before="80"/>
        <w:jc w:val="both"/>
      </w:pPr>
      <w:r>
        <w:rPr>
          <w:rFonts w:ascii="Arial" w:cs="Arial" w:eastAsia="Arial" w:hAnsi="Arial"/>
          <w:b w:val="false"/>
          <w:bCs w:val="false"/>
          <w:i w:val="false"/>
          <w:iCs w:val="false"/>
          <w:color w:val="000000"/>
          <w:sz w:val="18"/>
          <w:szCs w:val="18"/>
        </w:rPr>
        <w:t xml:space="preserve">No contingent liability is disclosed in any year's accounts, and no letters of credit, bank guarantees or non-fund based limits exist in the facility structure, so there is no off-balance-sheet exposure of that kind to assess. The partners have given personal guarantees to Bank of India and are presumably guarantors on the SIDBI and Tata Capital facilities, which creates cross-liability between the firm's lenders through the same four individuals; the guarantee schedules in the net worth statements are blank, so the full extent of guarantees already given cannot be established from the file and should be confirmed.</w:t>
      </w:r>
    </w:p>
    <w:p>
      <w:pPr>
        <w:spacing w:after="80" w:before="80"/>
        <w:jc w:val="both"/>
      </w:pPr>
      <w:r>
        <w:rPr>
          <w:rFonts w:ascii="Arial" w:cs="Arial" w:eastAsia="Arial" w:hAnsi="Arial"/>
          <w:b/>
          <w:bCs/>
          <w:i w:val="false"/>
          <w:iCs w:val="false"/>
          <w:color w:val="000000"/>
          <w:sz w:val="18"/>
          <w:szCs w:val="18"/>
        </w:rPr>
        <w:t xml:space="preserve">The related party position as declared cannot be accepted. </w:t>
      </w:r>
      <w:r>
        <w:rPr>
          <w:rFonts w:ascii="Arial" w:cs="Arial" w:eastAsia="Arial" w:hAnsi="Arial"/>
          <w:b w:val="false"/>
          <w:bCs w:val="false"/>
          <w:i w:val="false"/>
          <w:iCs w:val="false"/>
          <w:color w:val="000000"/>
          <w:sz w:val="18"/>
          <w:szCs w:val="18"/>
        </w:rPr>
        <w:t xml:space="preserve">The CMA reports revenue from related parties, purchases from related parties, payables and receivables from related parties as nil across every year. Against that, all four partners are directors of a private limited company of near-identical name, incorporated in August 2023, registered as a wholesale trader at a separate Coimbatore address and publicly recorded as the entity behind the same Pulze Batteries brand. Separately, a firm operated by one partner's father has been distributing Pulze-branded packs for seven years. Neither entity appears anywhere in the submission. There may be an entirely innocent explanation — the private limited company may be dormant, and the father's firm may simply be a customer trading at arm's length. But a nil declaration in the face of two same-brand entities under common control is not a position a lender can underwrite, and the transmission risk is direct: Evam's money would fund inventory in an entity whose stock and receivables can be moved to a connected party outside the charge. Full disclosure with audited accounts and a certified statement of inter-entity dealings is a condition precedent to first disbursement.</w:t>
      </w:r>
    </w:p>
    <w:p>
      <w:pPr>
        <w:pStyle w:val="Heading2"/>
        <w:spacing w:after="80" w:before="160"/>
        <w:jc w:val="left"/>
      </w:pPr>
      <w:r>
        <w:rPr>
          <w:rFonts w:ascii="Arial" w:cs="Arial" w:eastAsia="Arial" w:hAnsi="Arial"/>
          <w:b/>
          <w:bCs/>
          <w:color w:val="2E75B6"/>
          <w:sz w:val="22"/>
          <w:szCs w:val="22"/>
        </w:rPr>
        <w:t xml:space="preserve">Key Strengths</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Verified revenue. </w:t>
      </w:r>
      <w:r>
        <w:rPr>
          <w:rFonts w:ascii="Arial" w:cs="Arial" w:eastAsia="Arial" w:hAnsi="Arial"/>
          <w:b w:val="false"/>
          <w:bCs w:val="false"/>
          <w:i w:val="false"/>
          <w:iCs w:val="false"/>
          <w:color w:val="000000"/>
          <w:sz w:val="18"/>
          <w:szCs w:val="18"/>
        </w:rPr>
        <w:t xml:space="preserve">Goods and services tax outward supplies agree with audited sales to the rupee in both audited years, and banked collections equal 95.9% of goods and services tax inclusive billings, with 82.4% routed through the working capital lender. Revenue of this quality is uncommon in the MSME segment and materially reduces the risk of an inflated turnover base.</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Clean bureau and clean conduct. </w:t>
      </w:r>
      <w:r>
        <w:rPr>
          <w:rFonts w:ascii="Arial" w:cs="Arial" w:eastAsia="Arial" w:hAnsi="Arial"/>
          <w:b w:val="false"/>
          <w:bCs w:val="false"/>
          <w:i w:val="false"/>
          <w:iCs w:val="false"/>
          <w:color w:val="000000"/>
          <w:sz w:val="18"/>
          <w:szCs w:val="18"/>
        </w:rPr>
        <w:t xml:space="preserve">A company management rating of CMR-3 sits in the low risk band, and the four partner scores of 870, 820, 777 and 775 all fall in the good-to-strong bands with none below 750. The cash credit account records no cheque return across sixteen months of statements.</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Genuinely granular customer base. </w:t>
      </w:r>
      <w:r>
        <w:rPr>
          <w:rFonts w:ascii="Arial" w:cs="Arial" w:eastAsia="Arial" w:hAnsi="Arial"/>
          <w:b w:val="false"/>
          <w:bCs w:val="false"/>
          <w:i w:val="false"/>
          <w:iCs w:val="false"/>
          <w:color w:val="000000"/>
          <w:sz w:val="18"/>
          <w:szCs w:val="18"/>
        </w:rPr>
        <w:t xml:space="preserve">A hundred debtor accounts and roughly 5,400 collection transactions in sixteen months, with the same dealer names recurring every month and the top three industrial customers appearing simultaneously in the ageing, the order book and the bank records. Top-five debtor concentration of 42% is moderate for a firm of this size.</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Net worth built entirely from within. </w:t>
      </w:r>
      <w:r>
        <w:rPr>
          <w:rFonts w:ascii="Arial" w:cs="Arial" w:eastAsia="Arial" w:hAnsi="Arial"/>
          <w:b w:val="false"/>
          <w:bCs w:val="false"/>
          <w:i w:val="false"/>
          <w:iCs w:val="false"/>
          <w:color w:val="000000"/>
          <w:sz w:val="18"/>
          <w:szCs w:val="18"/>
        </w:rPr>
        <w:t xml:space="preserve">Partners’ funds have grown from Rs. 28.42 lakh to Rs. 180.99 lakh in three years with no external equity, no dilution and Rs. 26.75 lakh of net fresh contribution in the latest year alone, while the largest partner has funded 51.9% of the capital for a 25% profit share.</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Growth is not capacity-constrained. </w:t>
      </w:r>
      <w:r>
        <w:rPr>
          <w:rFonts w:ascii="Arial" w:cs="Arial" w:eastAsia="Arial" w:hAnsi="Arial"/>
          <w:b w:val="false"/>
          <w:bCs w:val="false"/>
          <w:i w:val="false"/>
          <w:iCs w:val="false"/>
          <w:color w:val="000000"/>
          <w:sz w:val="18"/>
          <w:szCs w:val="18"/>
        </w:rPr>
        <w:t xml:space="preserve">Derived utilisation of roughly 49% against stated capacity means the management revenue target requires about 80% of a single unit, so the projection conceals no unfunded capital expenditure — the classic hidden gap in a forecast of this size. The requirement is genuinely working capital.</w:t>
      </w:r>
    </w:p>
    <w:p>
      <w:pPr>
        <w:pStyle w:val="ListParagraph"/>
        <w:numPr>
          <w:ilvl w:val="0"/>
          <w:numId w:val="2"/>
        </w:numPr>
        <w:spacing w:after="40" w:before="40"/>
        <w:jc w:val="both"/>
      </w:pPr>
      <w:r>
        <w:rPr>
          <w:rFonts w:ascii="Arial" w:cs="Arial" w:eastAsia="Arial" w:hAnsi="Arial"/>
          <w:b/>
          <w:bCs/>
          <w:i w:val="false"/>
          <w:iCs w:val="false"/>
          <w:color w:val="000000"/>
          <w:sz w:val="18"/>
          <w:szCs w:val="18"/>
        </w:rPr>
        <w:t xml:space="preserve">Right side of the chemistry and policy shift. </w:t>
      </w:r>
      <w:r>
        <w:rPr>
          <w:rFonts w:ascii="Arial" w:cs="Arial" w:eastAsia="Arial" w:hAnsi="Arial"/>
          <w:b w:val="false"/>
          <w:bCs w:val="false"/>
          <w:i w:val="false"/>
          <w:iCs w:val="false"/>
          <w:color w:val="000000"/>
          <w:sz w:val="18"/>
          <w:szCs w:val="18"/>
        </w:rPr>
        <w:t xml:space="preserve">Every line in the confirmed order book is lithium iron phosphate, the chemistry gaining share at 27.1% a year, in the large-format capacity band growing at 28.5% a year, within a market whose demand is underwritten by the Production-Linked Incentive scheme, FAME-II and grid storage auctions rather than by the economic cycle.</w:t>
      </w:r>
    </w:p>
    <w:p>
      <w:pPr>
        <w:pStyle w:val="Heading1"/>
        <w:pageBreakBefore/>
        <w:spacing w:after="120" w:before="160"/>
        <w:jc w:val="left"/>
      </w:pPr>
      <w:r>
        <w:rPr>
          <w:rFonts w:ascii="Arial" w:cs="Arial" w:eastAsia="Arial" w:hAnsi="Arial"/>
          <w:b/>
          <w:bCs/>
          <w:color w:val="1F3864"/>
          <w:sz w:val="26"/>
          <w:szCs w:val="26"/>
        </w:rPr>
        <w:t xml:space="preserve">SECTION 6: ORDER BOOK AND PIPELINE</w:t>
      </w:r>
    </w:p>
    <w:p>
      <w:pPr>
        <w:pStyle w:val="Heading2"/>
        <w:spacing w:after="80" w:before="160"/>
        <w:jc w:val="left"/>
      </w:pPr>
      <w:r>
        <w:rPr>
          <w:rFonts w:ascii="Arial" w:cs="Arial" w:eastAsia="Arial" w:hAnsi="Arial"/>
          <w:b/>
          <w:bCs/>
          <w:color w:val="2E75B6"/>
          <w:sz w:val="22"/>
          <w:szCs w:val="22"/>
        </w:rPr>
        <w:t xml:space="preserve">Confirmed Order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300"/>
        <w:gridCol w:w="1400"/>
        <w:gridCol w:w="1260"/>
      </w:tblGrid>
      <w:tr>
        <w:trPr>
          <w:tblHeader/>
        </w:trPr>
        <w:tc>
          <w:tcPr>
            <w:tcW w:type="dxa" w:w="7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S.N.</w:t>
            </w:r>
          </w:p>
        </w:tc>
        <w:tc>
          <w:tcPr>
            <w:tcW w:type="dxa" w:w="27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Customer</w:t>
            </w:r>
          </w:p>
        </w:tc>
        <w:tc>
          <w:tcPr>
            <w:tcW w:type="dxa" w:w="33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Scope</w:t>
            </w:r>
          </w:p>
        </w:tc>
        <w:tc>
          <w:tcPr>
            <w:tcW w:type="dxa" w:w="1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Order Value</w:t>
            </w:r>
          </w:p>
        </w:tc>
        <w:tc>
          <w:tcPr>
            <w:tcW w:type="dxa" w:w="12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 of book</w:t>
            </w:r>
          </w:p>
        </w:tc>
      </w:tr>
      <w:tr>
        <w:trPr>
          <w:tblHeader w:val="false"/>
        </w:trPr>
        <w:tc>
          <w:tcPr>
            <w:tcW w:type="dxa" w:w="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1</w:t>
            </w:r>
          </w:p>
        </w:tc>
        <w:tc>
          <w:tcPr>
            <w:tcW w:type="dxa" w:w="2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Haul Material Handling, Coimbatore</w:t>
            </w:r>
          </w:p>
        </w:tc>
        <w:tc>
          <w:tcPr>
            <w:tcW w:type="dxa" w:w="3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45 nos. 73.6V 420Ah LFP pack, drawing H3-BAT-ASP-03-A, 500A BMS, CAN for SoC, 320A DIN charger interface</w:t>
            </w:r>
          </w:p>
        </w:tc>
        <w:tc>
          <w:tcPr>
            <w:tcW w:type="dxa" w:w="1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164.1</w:t>
            </w:r>
          </w:p>
        </w:tc>
        <w:tc>
          <w:tcPr>
            <w:tcW w:type="dxa" w:w="12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57.6%</w:t>
            </w:r>
          </w:p>
        </w:tc>
      </w:tr>
      <w:tr>
        <w:trPr>
          <w:tblHeader w:val="false"/>
        </w:trPr>
        <w:tc>
          <w:tcPr>
            <w:tcW w:type="dxa" w:w="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2</w:t>
            </w:r>
          </w:p>
        </w:tc>
        <w:tc>
          <w:tcPr>
            <w:tcW w:type="dxa" w:w="2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Zencore Enterprises</w:t>
            </w:r>
          </w:p>
        </w:tc>
        <w:tc>
          <w:tcPr>
            <w:tcW w:type="dxa" w:w="3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40 nos. 51.2V 210Ah LFP battery</w:t>
            </w:r>
          </w:p>
        </w:tc>
        <w:tc>
          <w:tcPr>
            <w:tcW w:type="dxa" w:w="1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57.6</w:t>
            </w:r>
          </w:p>
        </w:tc>
        <w:tc>
          <w:tcPr>
            <w:tcW w:type="dxa" w:w="12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20.2%</w:t>
            </w:r>
          </w:p>
        </w:tc>
      </w:tr>
      <w:tr>
        <w:trPr>
          <w:tblHeader w:val="false"/>
        </w:trPr>
        <w:tc>
          <w:tcPr>
            <w:tcW w:type="dxa" w:w="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3</w:t>
            </w:r>
          </w:p>
        </w:tc>
        <w:tc>
          <w:tcPr>
            <w:tcW w:type="dxa" w:w="2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SRS Material Handling India Pvt Ltd, Chennai</w:t>
            </w:r>
          </w:p>
        </w:tc>
        <w:tc>
          <w:tcPr>
            <w:tcW w:type="dxa" w:w="3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10 nos. 51.2V 460Ah LFP battery (PO SF/PO/0780/26-27 dated 09-Jul-2026)</w:t>
            </w:r>
          </w:p>
        </w:tc>
        <w:tc>
          <w:tcPr>
            <w:tcW w:type="dxa" w:w="1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30.6</w:t>
            </w:r>
          </w:p>
        </w:tc>
        <w:tc>
          <w:tcPr>
            <w:tcW w:type="dxa" w:w="12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10.7%</w:t>
            </w:r>
          </w:p>
        </w:tc>
      </w:tr>
      <w:tr>
        <w:trPr>
          <w:tblHeader w:val="false"/>
        </w:trPr>
        <w:tc>
          <w:tcPr>
            <w:tcW w:type="dxa" w:w="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4</w:t>
            </w:r>
          </w:p>
        </w:tc>
        <w:tc>
          <w:tcPr>
            <w:tcW w:type="dxa" w:w="2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Mtandt Rentals Limited</w:t>
            </w:r>
          </w:p>
        </w:tc>
        <w:tc>
          <w:tcPr>
            <w:tcW w:type="dxa" w:w="3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60 nos. 25.6V 105Ah LFP</w:t>
            </w:r>
          </w:p>
        </w:tc>
        <w:tc>
          <w:tcPr>
            <w:tcW w:type="dxa" w:w="1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22.4</w:t>
            </w:r>
          </w:p>
        </w:tc>
        <w:tc>
          <w:tcPr>
            <w:tcW w:type="dxa" w:w="12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7.9%</w:t>
            </w:r>
          </w:p>
        </w:tc>
      </w:tr>
      <w:tr>
        <w:trPr>
          <w:tblHeader w:val="false"/>
        </w:trPr>
        <w:tc>
          <w:tcPr>
            <w:tcW w:type="dxa" w:w="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5</w:t>
            </w:r>
          </w:p>
        </w:tc>
        <w:tc>
          <w:tcPr>
            <w:tcW w:type="dxa" w:w="2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Mtandt Rentals Limited</w:t>
            </w:r>
          </w:p>
        </w:tc>
        <w:tc>
          <w:tcPr>
            <w:tcW w:type="dxa" w:w="3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15 nos. 25.6V 210Ah LFP</w:t>
            </w:r>
          </w:p>
        </w:tc>
        <w:tc>
          <w:tcPr>
            <w:tcW w:type="dxa" w:w="1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10.1</w:t>
            </w:r>
          </w:p>
        </w:tc>
        <w:tc>
          <w:tcPr>
            <w:tcW w:type="dxa" w:w="12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3.6%</w:t>
            </w:r>
          </w:p>
        </w:tc>
      </w:tr>
      <w:tr>
        <w:trPr>
          <w:tblHeader w:val="false"/>
        </w:trPr>
        <w:tc>
          <w:tcPr>
            <w:tcW w:type="dxa" w:w="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
            </w:r>
          </w:p>
        </w:tc>
        <w:tc>
          <w:tcPr>
            <w:tcW w:type="dxa" w:w="2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Total (170 packs, 2,298 kWh)</w:t>
            </w:r>
          </w:p>
        </w:tc>
        <w:tc>
          <w:tcPr>
            <w:tcW w:type="dxa" w:w="3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284.9</w:t>
            </w:r>
          </w:p>
        </w:tc>
        <w:tc>
          <w:tcPr>
            <w:tcW w:type="dxa" w:w="12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100.0%</w:t>
            </w:r>
          </w:p>
        </w:tc>
      </w:tr>
    </w:tbl>
    <w:p>
      <w:pPr>
        <w:spacing w:after="80" w:before="80"/>
        <w:jc w:val="both"/>
      </w:pPr>
      <w:r>
        <w:rPr>
          <w:rFonts w:ascii="Arial" w:cs="Arial" w:eastAsia="Arial" w:hAnsi="Arial"/>
          <w:b w:val="false"/>
          <w:bCs w:val="false"/>
          <w:i/>
          <w:iCs/>
          <w:color w:val="000000"/>
          <w:sz w:val="18"/>
          <w:szCs w:val="18"/>
        </w:rPr>
        <w:t xml:space="preserve">Rs. lakh inclusive of goods and services tax; base value Rs. 241.42 lakh. Haul purchase order 2627/PO/000076 dated 16-Jun-2026.</w:t>
      </w:r>
    </w:p>
    <w:p>
      <w:pPr>
        <w:pStyle w:val="Heading2"/>
        <w:spacing w:after="80" w:before="160"/>
        <w:jc w:val="left"/>
      </w:pPr>
      <w:r>
        <w:rPr>
          <w:rFonts w:ascii="Arial" w:cs="Arial" w:eastAsia="Arial" w:hAnsi="Arial"/>
          <w:b/>
          <w:bCs/>
          <w:color w:val="2E75B6"/>
          <w:sz w:val="22"/>
          <w:szCs w:val="22"/>
        </w:rPr>
        <w:t xml:space="preserve">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Category</w:t>
            </w:r>
          </w:p>
        </w:tc>
        <w:tc>
          <w:tcPr>
            <w:tcW w:type="dxa" w:w="3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Client</w:t>
            </w:r>
          </w:p>
        </w:tc>
        <w:tc>
          <w:tcPr>
            <w:tcW w:type="dxa" w:w="28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Estimated Value</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Pipeline / unconfirmed enquiries</w:t>
            </w:r>
          </w:p>
        </w:tc>
        <w:tc>
          <w:tcPr>
            <w:tcW w:type="dxa" w:w="3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28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r>
    </w:tbl>
    <w:p>
      <w:pPr>
        <w:spacing w:after="80" w:before="80"/>
        <w:jc w:val="both"/>
      </w:pPr>
      <w:r>
        <w:rPr>
          <w:rFonts w:ascii="Arial" w:cs="Arial" w:eastAsia="Arial" w:hAnsi="Arial"/>
          <w:b w:val="false"/>
          <w:bCs w:val="false"/>
          <w:i/>
          <w:iCs/>
          <w:color w:val="000000"/>
          <w:sz w:val="18"/>
          <w:szCs w:val="18"/>
        </w:rPr>
        <w:t xml:space="preserve">No pipeline schedule of any kind was supplied. For a business with a hundred active dealer accounts this is a real gap: the recurring dealer revenue is by nature unbooked, so the absence of a pipeline statement means there is no forward visibility on roughly nine-tenths of the projected turnover. This information is not available in the documents provided and should be obtained in the management meeting.</w:t>
      </w:r>
    </w:p>
    <w:p>
      <w:pPr>
        <w:pStyle w:val="Heading2"/>
        <w:spacing w:after="80" w:before="160"/>
        <w:jc w:val="left"/>
      </w:pPr>
      <w:r>
        <w:rPr>
          <w:rFonts w:ascii="Arial" w:cs="Arial" w:eastAsia="Arial" w:hAnsi="Arial"/>
          <w:b/>
          <w:bCs/>
          <w:color w:val="2E75B6"/>
          <w:sz w:val="22"/>
          <w:szCs w:val="22"/>
        </w:rPr>
        <w:t xml:space="preserve">Commentary</w:t>
      </w:r>
    </w:p>
    <w:p>
      <w:pPr>
        <w:spacing w:after="80" w:before="80"/>
        <w:jc w:val="both"/>
      </w:pPr>
      <w:r>
        <w:rPr>
          <w:rFonts w:ascii="Arial" w:cs="Arial" w:eastAsia="Arial" w:hAnsi="Arial"/>
          <w:b w:val="false"/>
          <w:bCs w:val="false"/>
          <w:i w:val="false"/>
          <w:iCs w:val="false"/>
          <w:color w:val="000000"/>
          <w:sz w:val="18"/>
          <w:szCs w:val="18"/>
        </w:rPr>
        <w:t xml:space="preserve">Order book cover is thin on any measure — the confirmed book equals 5.7% of the management revenue projection and 8.0% of the Analyst Base Case. For an engineering or construction borrower that would be disqualifying. Here it is a poor measure of the business, because roughly nine-tenths of turnover comes from a dealer network buying consumables on rolling short-credit terms that generate no order book at all. The appropriate substitute measure is repeat-order continuity, and on that basis the evidence is strong: sixteen consecutive months of collections from the same dealer names, with Aruna Wheels contributing across 62 receipts, Iyarkai Motors across 108 and Tera Equipments across 73.</w:t>
      </w:r>
    </w:p>
    <w:p>
      <w:pPr>
        <w:spacing w:after="80" w:before="80"/>
        <w:jc w:val="both"/>
      </w:pPr>
      <w:r>
        <w:rPr>
          <w:rFonts w:ascii="Arial" w:cs="Arial" w:eastAsia="Arial" w:hAnsi="Arial"/>
          <w:b/>
          <w:bCs/>
          <w:i w:val="false"/>
          <w:iCs w:val="false"/>
          <w:color w:val="000000"/>
          <w:sz w:val="18"/>
          <w:szCs w:val="18"/>
        </w:rPr>
        <w:t xml:space="preserve">What the order book does reveal is a concentration and a discontinuity that the ledger conceals. </w:t>
      </w:r>
      <w:r>
        <w:rPr>
          <w:rFonts w:ascii="Arial" w:cs="Arial" w:eastAsia="Arial" w:hAnsi="Arial"/>
          <w:b w:val="false"/>
          <w:bCs w:val="false"/>
          <w:i w:val="false"/>
          <w:iCs w:val="false"/>
          <w:color w:val="000000"/>
          <w:sz w:val="18"/>
          <w:szCs w:val="18"/>
        </w:rPr>
        <w:t xml:space="preserve">It is entirely industrial and entirely lithium iron phosphate, with a single unrated partnership firm at 57.6% and the top three at 88.5% — while the debtor ledger contains almost no industrial names at material value. The confirmed book and the recurring revenue base are effectively two different businesses, and the growth in the projection depends on the newer and more concentrated of them. Geographically the book is Tamil Nadu-centric with Chennai and Coimbatore counterparties; the debtor ledger reaches further, with Uttar Pradesh entries for Equipr Technologies and Mtandt Rentals, though export revenue at 0.4% of turnover is immaterial. Diversification is therefore real in the ledger and absent in the order book, which is why Section 11 recommends a single-name drawdown cap.</w:t>
      </w:r>
    </w:p>
    <w:p>
      <w:pPr>
        <w:pStyle w:val="Heading2"/>
        <w:spacing w:after="80" w:before="160"/>
        <w:jc w:val="left"/>
      </w:pPr>
      <w:r>
        <w:rPr>
          <w:rFonts w:ascii="Arial" w:cs="Arial" w:eastAsia="Arial" w:hAnsi="Arial"/>
          <w:b/>
          <w:bCs/>
          <w:color w:val="2E75B6"/>
          <w:sz w:val="22"/>
          <w:szCs w:val="22"/>
        </w:rPr>
        <w:t xml:space="preserve">Key Customers (Historical) and Anchor Credit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W w:type="dxa" w:w="2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Customer</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Debtor book</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Order book</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16-month collections</w:t>
            </w:r>
          </w:p>
        </w:tc>
        <w:tc>
          <w:tcPr>
            <w:tcW w:type="dxa" w:w="24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Credit rating (as at 29-Jul-2026)</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Haul Material Handling</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38.7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164.1</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118.0</w:t>
            </w:r>
          </w:p>
        </w:tc>
        <w:tc>
          <w:tcPr>
            <w:tcW w:type="dxa" w:w="2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rated / rating not traceable</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SRS Material Handling India Pvt Ltd</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12.4</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30.6</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included in ledger</w:t>
            </w:r>
          </w:p>
        </w:tc>
        <w:tc>
          <w:tcPr>
            <w:tcW w:type="dxa" w:w="2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rated / rating not traceable</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Mtandt Rentals Limited</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3.4</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32.6</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37.3</w:t>
            </w:r>
          </w:p>
        </w:tc>
        <w:tc>
          <w:tcPr>
            <w:tcW w:type="dxa" w:w="2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rated / rating not traceable</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Zencore Enterprises</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57.6</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99.5</w:t>
            </w:r>
          </w:p>
        </w:tc>
        <w:tc>
          <w:tcPr>
            <w:tcW w:type="dxa" w:w="2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rated / rating not traceable</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Aruna Wheels LLP</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140.1</w:t>
            </w:r>
          </w:p>
        </w:tc>
        <w:tc>
          <w:tcPr>
            <w:tcW w:type="dxa" w:w="2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rated / rating not traceable</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Tylos Electric Vehicles</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213.5</w:t>
            </w:r>
          </w:p>
        </w:tc>
        <w:tc>
          <w:tcPr>
            <w:tcW w:type="dxa" w:w="2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rated / rating not traceable</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Future EV</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12.4</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77.2</w:t>
            </w:r>
          </w:p>
        </w:tc>
        <w:tc>
          <w:tcPr>
            <w:tcW w:type="dxa" w:w="2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rated / rating not traceable</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Craftsman Automation Ltd</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separately identified</w:t>
            </w:r>
          </w:p>
        </w:tc>
        <w:tc>
          <w:tcPr>
            <w:tcW w:type="dxa" w:w="2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Listed entity; rating not fetched for this file</w:t>
            </w:r>
          </w:p>
        </w:tc>
      </w:tr>
    </w:tbl>
    <w:p>
      <w:pPr>
        <w:spacing w:after="80" w:before="80"/>
        <w:jc w:val="both"/>
      </w:pPr>
      <w:r>
        <w:rPr>
          <w:rFonts w:ascii="Arial" w:cs="Arial" w:eastAsia="Arial" w:hAnsi="Arial"/>
          <w:b w:val="false"/>
          <w:bCs w:val="false"/>
          <w:i/>
          <w:iCs/>
          <w:color w:val="000000"/>
          <w:sz w:val="18"/>
          <w:szCs w:val="18"/>
        </w:rPr>
        <w:t xml:space="preserve">Rs. lakh. Collections are aggregate credits identified in the Bank of India and Bank of Baroda statement analyses for the period 02-Apr-2025 to 21-Jul-2026.</w:t>
      </w:r>
    </w:p>
    <w:p>
      <w:pPr>
        <w:spacing w:after="80" w:before="80"/>
        <w:jc w:val="both"/>
      </w:pPr>
      <w:r>
        <w:rPr>
          <w:rFonts w:ascii="Arial" w:cs="Arial" w:eastAsia="Arial" w:hAnsi="Arial"/>
          <w:b/>
          <w:bCs/>
          <w:i w:val="false"/>
          <w:iCs w:val="false"/>
          <w:color w:val="000000"/>
          <w:sz w:val="18"/>
          <w:szCs w:val="18"/>
        </w:rPr>
        <w:t xml:space="preserve">The anchor credit position is weak and must be stated as such. </w:t>
      </w:r>
      <w:r>
        <w:rPr>
          <w:rFonts w:ascii="Arial" w:cs="Arial" w:eastAsia="Arial" w:hAnsi="Arial"/>
          <w:b w:val="false"/>
          <w:bCs w:val="false"/>
          <w:i w:val="false"/>
          <w:iCs w:val="false"/>
          <w:color w:val="000000"/>
          <w:sz w:val="18"/>
          <w:szCs w:val="18"/>
        </w:rPr>
        <w:t xml:space="preserve">Not one of the order book counterparties carries a traceable rating from any of CRISIL, ICRA, CARE, India Ratings or Acuité. Mtandt Rentals Limited is the most substantial name — an unlisted public company incorporated in October 2009 with paid-up capital of Rs. 15.70 crore and 663 employees — but its open charges of Rs. 553.32 crore describe a heavily leveraged equipment rental balance sheet, and its most recent filed balance sheet is for FY 2023–24, so its current financial health cannot be assessed from public filings. Haul Material Handling's goods and services tax registration number indicates a partnership constitution, so the largest single order in the book rests with an unrated partnership firm; no adverse news attaches to it. Zencore Enterprises has contributed Rs. 99.52 lakh of collections across nineteen receipts without appearing in the debtor ageing at all, which is consistent with a customer that pays promptly. For purchase-order or supply-chain finance against these names Evam would need direct financial diligence on each; for the present facility, which lends against the pool rather than against an assigned receivable, the diversified dealer book is the more relevant protection.</w:t>
      </w:r>
    </w:p>
    <w:p>
      <w:pPr>
        <w:spacing w:after="80" w:before="80"/>
        <w:jc w:val="both"/>
      </w:pPr>
      <w:r>
        <w:rPr>
          <w:rFonts w:ascii="Arial" w:cs="Arial" w:eastAsia="Arial" w:hAnsi="Arial"/>
          <w:b/>
          <w:bCs/>
          <w:i w:val="false"/>
          <w:iCs w:val="false"/>
          <w:color w:val="000000"/>
          <w:sz w:val="18"/>
          <w:szCs w:val="18"/>
        </w:rPr>
        <w:t xml:space="preserve">One counterparty requires explanation before sanction. </w:t>
      </w:r>
      <w:r>
        <w:rPr>
          <w:rFonts w:ascii="Arial" w:cs="Arial" w:eastAsia="Arial" w:hAnsi="Arial"/>
          <w:b w:val="false"/>
          <w:bCs w:val="false"/>
          <w:i w:val="false"/>
          <w:iCs w:val="false"/>
          <w:color w:val="000000"/>
          <w:sz w:val="18"/>
          <w:szCs w:val="18"/>
        </w:rPr>
        <w:t xml:space="preserve">Tylos Electric Vehicles is the single largest collection counterparty in the Bank of India account across sixteen months, yet it appears nowhere in the debtor ageing. On 18-Nov-2025 the account received Rs. 19.40 lakh described as from "SIBL LI" and on 19-Nov-2025 paid Rs. 19.40 lakh to Tylos Electric Vehicles — identical amounts on consecutive days. Two-way flows of this kind may be a legitimate netting of purchase and sale with a counterparty that is both customer and supplier, or they may not. The documents do not explain them.</w:t>
      </w:r>
    </w:p>
    <w:p>
      <w:pPr>
        <w:pStyle w:val="Heading1"/>
        <w:pageBreakBefore/>
        <w:spacing w:after="120" w:before="160"/>
        <w:jc w:val="left"/>
      </w:pPr>
      <w:r>
        <w:rPr>
          <w:rFonts w:ascii="Arial" w:cs="Arial" w:eastAsia="Arial" w:hAnsi="Arial"/>
          <w:b/>
          <w:bCs/>
          <w:color w:val="1F3864"/>
          <w:sz w:val="26"/>
          <w:szCs w:val="26"/>
        </w:rPr>
        <w:t xml:space="preserve">SECTION 7: BANK STATEMENTS, GST AND ITR ANALYSIS</w:t>
      </w:r>
    </w:p>
    <w:p>
      <w:pPr>
        <w:pStyle w:val="Heading2"/>
        <w:spacing w:after="80" w:before="160"/>
        <w:jc w:val="left"/>
      </w:pPr>
      <w:r>
        <w:rPr>
          <w:rFonts w:ascii="Arial" w:cs="Arial" w:eastAsia="Arial" w:hAnsi="Arial"/>
          <w:b/>
          <w:bCs/>
          <w:color w:val="2E75B6"/>
          <w:sz w:val="22"/>
          <w:szCs w:val="22"/>
        </w:rPr>
        <w:t xml:space="preserve">Turnover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Particulars (Rs. lakh)</w:t>
            </w:r>
          </w:p>
        </w:tc>
        <w:tc>
          <w:tcPr>
            <w:tcW w:type="dxa" w:w="17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 2023–24</w:t>
            </w:r>
          </w:p>
        </w:tc>
        <w:tc>
          <w:tcPr>
            <w:tcW w:type="dxa" w:w="17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 2024–25</w:t>
            </w:r>
          </w:p>
        </w:tc>
        <w:tc>
          <w:tcPr>
            <w:tcW w:type="dxa" w:w="17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 2025–26</w:t>
            </w:r>
          </w:p>
        </w:tc>
        <w:tc>
          <w:tcPr>
            <w:tcW w:type="dxa" w:w="17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 / Result</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Sales per audited accounts</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1,843.6</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1,605.1</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3,080.7</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GST outward supplies per ITR</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1,843.6</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1,605.1</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Variance, GST vs sales (%)</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≤5% — clean</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Bank credits, net of contra and loans</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3,485.5</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Variance, bank vs net sales (%)</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13.1</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&gt;10% — see below</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Sales grossed up for GST at 18%</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3,635.22</w:t>
            </w:r>
          </w:p>
        </w:tc>
        <w:tc>
          <w:tcPr>
            <w:tcW w:type="dxa" w:w="17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Bank credits as % of gross billings</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95.9</w:t>
            </w:r>
          </w:p>
        </w:tc>
        <w:tc>
          <w:tcPr>
            <w:tcW w:type="dxa" w:w="17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Resolved</w:t>
            </w:r>
          </w:p>
        </w:tc>
      </w:tr>
    </w:tbl>
    <w:p>
      <w:pPr>
        <w:spacing w:after="80" w:before="80"/>
        <w:jc w:val="both"/>
      </w:pPr>
      <w:r>
        <w:rPr>
          <w:rFonts w:ascii="Arial" w:cs="Arial" w:eastAsia="Arial" w:hAnsi="Arial"/>
          <w:b/>
          <w:bCs/>
          <w:i w:val="false"/>
          <w:iCs w:val="false"/>
          <w:color w:val="000000"/>
          <w:sz w:val="18"/>
          <w:szCs w:val="18"/>
        </w:rPr>
        <w:t xml:space="preserve">The goods and services tax reconciliation is the single cleanest number in this file. </w:t>
      </w:r>
      <w:r>
        <w:rPr>
          <w:rFonts w:ascii="Arial" w:cs="Arial" w:eastAsia="Arial" w:hAnsi="Arial"/>
          <w:b w:val="false"/>
          <w:bCs w:val="false"/>
          <w:i w:val="false"/>
          <w:iCs w:val="false"/>
          <w:color w:val="000000"/>
          <w:sz w:val="18"/>
          <w:szCs w:val="18"/>
        </w:rPr>
        <w:t xml:space="preserve">Outward supplies declared in the returns match audited sales exactly in both audited years, which removes any question of unrecorded or inflated turnover in the historical base. The FY 2025–26 return figure was not supplied and should be obtained, but the provisional sales figure reconciles to the trading account and to the closing stock movement without residue.</w:t>
      </w:r>
    </w:p>
    <w:p>
      <w:pPr>
        <w:spacing w:after="80" w:before="80"/>
        <w:jc w:val="both"/>
      </w:pPr>
      <w:r>
        <w:rPr>
          <w:rFonts w:ascii="Arial" w:cs="Arial" w:eastAsia="Arial" w:hAnsi="Arial"/>
          <w:b/>
          <w:bCs/>
          <w:i w:val="false"/>
          <w:iCs w:val="false"/>
          <w:color w:val="000000"/>
          <w:sz w:val="18"/>
          <w:szCs w:val="18"/>
        </w:rPr>
        <w:t xml:space="preserve">The bank reconciliation exceeds the 10% tolerance and is nonetheless a favourable finding once understood. </w:t>
      </w:r>
      <w:r>
        <w:rPr>
          <w:rFonts w:ascii="Arial" w:cs="Arial" w:eastAsia="Arial" w:hAnsi="Arial"/>
          <w:b w:val="false"/>
          <w:bCs w:val="false"/>
          <w:i w:val="false"/>
          <w:iCs w:val="false"/>
          <w:color w:val="000000"/>
          <w:sz w:val="18"/>
          <w:szCs w:val="18"/>
        </w:rPr>
        <w:t xml:space="preserve">Collections are gross of goods and services tax while sales are net of it, so the correct comparison grosses sales up by the applicable rate. On that basis banked receipts equal 95.9% of what the firm billed — practically the whole of it — which for a business selling to a hundred small dealers is a strong routing result and materially reduces the risk of off-book cash sales. Cash intensity is correspondingly low: cash deposits across all accounts over sixteen months were roughly Rs. 43 lakh against Rs. 3,485 lakh of credits, and cash withdrawals were Rs. 45.70 lakh, entirely consistent with petty site and transport expenses rather than with an unbanked parallel trade.</w:t>
      </w:r>
    </w:p>
    <w:p>
      <w:pPr>
        <w:pStyle w:val="Heading2"/>
        <w:spacing w:after="80" w:before="160"/>
        <w:jc w:val="left"/>
      </w:pPr>
      <w:r>
        <w:rPr>
          <w:rFonts w:ascii="Arial" w:cs="Arial" w:eastAsia="Arial" w:hAnsi="Arial"/>
          <w:b/>
          <w:bCs/>
          <w:color w:val="2E75B6"/>
          <w:sz w:val="22"/>
          <w:szCs w:val="22"/>
        </w:rPr>
        <w:t xml:space="preserve">Banking Conduct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Particulars</w:t>
            </w:r>
          </w:p>
        </w:tc>
        <w:tc>
          <w:tcPr>
            <w:tcW w:type="dxa" w:w="232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Bank of India (CC)</w:t>
            </w:r>
          </w:p>
        </w:tc>
        <w:tc>
          <w:tcPr>
            <w:tcW w:type="dxa" w:w="232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Bank of Baroda (CA)</w:t>
            </w:r>
          </w:p>
        </w:tc>
        <w:tc>
          <w:tcPr>
            <w:tcW w:type="dxa" w:w="232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Kotak Mahindra (CA)</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Account number</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820830110000064</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57110200000365</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6054086885</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Type and limit</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Cash Credit, Rs. 250.00 lakh</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Current, nil limit</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Current, nil limit</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Period analysed</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02-Apr-25 to 21-Jul-26</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02-Apr-25 to 21-Jul-26</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07-Mar-26 to 21-Jul-26</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Opening balance</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(180.3)</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2.4</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Closing balance</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(252.1)</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5.4</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0.9</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Net credits, 16 months</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4,604.7</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1,459.0</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58.4</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Credit transactions (nos.)</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4,500</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1,115</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112</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Debit transactions (nos.)</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1,665</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3,589</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925</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Cheque returns — non-technical</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 (Rs. 3.64 lakh, 15-Apr-25)</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Cheque returns — technical</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 (Rs. 2.00 lakh, 06-Mar-26)</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 (Rs. 2.00 lakh, 07-Mar-26)</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Online / ECS returns</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3 outward (Rs. 0.63 lakh)</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47 inward UPI reversals (Rs. 2.55 lakh)</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Overdrawings / TOD</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Rs. 2.11 lakh at 21-Jul-26</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applicable</w:t>
            </w:r>
          </w:p>
        </w:tc>
        <w:tc>
          <w:tcPr>
            <w:tcW w:type="dxa" w:w="23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applicable</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Share of total routing (FY26)</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82.4%</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17.6%</w:t>
            </w:r>
          </w:p>
        </w:tc>
        <w:tc>
          <w:tcPr>
            <w:tcW w:type="dxa" w:w="23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0.3%</w:t>
            </w:r>
          </w:p>
        </w:tc>
      </w:tr>
    </w:tbl>
    <w:p>
      <w:pPr>
        <w:spacing w:after="80" w:before="80"/>
        <w:jc w:val="both"/>
      </w:pPr>
      <w:r>
        <w:rPr>
          <w:rFonts w:ascii="Arial" w:cs="Arial" w:eastAsia="Arial" w:hAnsi="Arial"/>
          <w:b w:val="false"/>
          <w:bCs w:val="false"/>
          <w:i/>
          <w:iCs/>
          <w:color w:val="000000"/>
          <w:sz w:val="18"/>
          <w:szCs w:val="18"/>
        </w:rPr>
        <w:t xml:space="preserve">Rs. lakh; figures in brackets are debit balances. Routing shares computed on FY 2025–26 net credits.</w:t>
      </w:r>
    </w:p>
    <w:p>
      <w:pPr>
        <w:spacing w:after="80" w:before="80"/>
        <w:jc w:val="both"/>
      </w:pPr>
      <w:r>
        <w:rPr>
          <w:rFonts w:ascii="Arial" w:cs="Arial" w:eastAsia="Arial" w:hAnsi="Arial"/>
          <w:b/>
          <w:bCs/>
          <w:i w:val="false"/>
          <w:iCs w:val="false"/>
          <w:color w:val="000000"/>
          <w:sz w:val="18"/>
          <w:szCs w:val="18"/>
        </w:rPr>
        <w:t xml:space="preserve">Credit discipline is good on the account that matters and adequate elsewhere. </w:t>
      </w:r>
      <w:r>
        <w:rPr>
          <w:rFonts w:ascii="Arial" w:cs="Arial" w:eastAsia="Arial" w:hAnsi="Arial"/>
          <w:b w:val="false"/>
          <w:bCs w:val="false"/>
          <w:i w:val="false"/>
          <w:iCs w:val="false"/>
          <w:color w:val="000000"/>
          <w:sz w:val="18"/>
          <w:szCs w:val="18"/>
        </w:rPr>
        <w:t xml:space="preserve">In sixteen months the cash credit facility recorded not one cheque return, not one online return and no instrument dishonour of any kind — a clean record on the account through which four-fifths of the firm's turnover passes, and the strongest single corroboration of the CMR-3 rating. The exceptions sit in the current accounts and are modest: a single genuine "funds insufficient" dishonour of Rs. 3.64 lakh in April 2025, sixteen months ago and not repeated; two technical returns for advice not received, which are the bank's processing failures rather than the firm's; and forty-seven petty unified payments interface reversals in the Kotak account, which functions as an expense imprest funded by transfers and where the average debit is roughly Rs. 7,300. None of this indicates a payments problem. It does indicate that the firm operates three accounts loosely, moving Rs. 188.70 lakh between its own accounts during the year, which inflates apparent turnover in any single statement and is why the reconciliation above is computed net of inter-account transfers.</w:t>
      </w:r>
    </w:p>
    <w:p>
      <w:pPr>
        <w:spacing w:after="80" w:before="80"/>
        <w:jc w:val="both"/>
      </w:pPr>
      <w:r>
        <w:rPr>
          <w:rFonts w:ascii="Arial" w:cs="Arial" w:eastAsia="Arial" w:hAnsi="Arial"/>
          <w:b/>
          <w:bCs/>
          <w:i w:val="false"/>
          <w:iCs w:val="false"/>
          <w:color w:val="000000"/>
          <w:sz w:val="18"/>
          <w:szCs w:val="18"/>
        </w:rPr>
        <w:t xml:space="preserve">The concern is not conduct but headroom. </w:t>
      </w:r>
      <w:r>
        <w:rPr>
          <w:rFonts w:ascii="Arial" w:cs="Arial" w:eastAsia="Arial" w:hAnsi="Arial"/>
          <w:b w:val="false"/>
          <w:bCs w:val="false"/>
          <w:i w:val="false"/>
          <w:iCs w:val="false"/>
          <w:color w:val="000000"/>
          <w:sz w:val="18"/>
          <w:szCs w:val="18"/>
        </w:rPr>
        <w:t xml:space="preserve">The cash credit account stood at Rs. 252.11 lakh against a Rs. 250 lakh limit on 21-Jul-2026 — an overdrawing of Rs. 2.11 lakh and utilisation of 100.8%. Sixteen months earlier it stood at 72.1%. The firm has consumed the whole of its remaining bank headroom funding the inventory build, and Bank of India now has no room to accommodate a seasonal peak, a debtor stretch or a supplier tightening. That is the immediate commercial reason this proposal exists, and it is also the reason the refinancing stress in Section 5 has no full bridge. A working capital lender at 100.8% utilisation is a lender whose own comfort is already stretched.</w:t>
      </w:r>
    </w:p>
    <w:p>
      <w:pPr>
        <w:pStyle w:val="Heading2"/>
        <w:spacing w:after="80" w:before="160"/>
        <w:jc w:val="left"/>
      </w:pPr>
      <w:r>
        <w:rPr>
          <w:rFonts w:ascii="Arial" w:cs="Arial" w:eastAsia="Arial" w:hAnsi="Arial"/>
          <w:b/>
          <w:bCs/>
          <w:color w:val="2E75B6"/>
          <w:sz w:val="22"/>
          <w:szCs w:val="22"/>
        </w:rPr>
        <w:t xml:space="preserve">Quarterly Utilisation — Bank of India Cash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Date</w:t>
            </w:r>
          </w:p>
        </w:tc>
        <w:tc>
          <w:tcPr>
            <w:tcW w:type="dxa" w:w="22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Limit</w:t>
            </w:r>
          </w:p>
        </w:tc>
        <w:tc>
          <w:tcPr>
            <w:tcW w:type="dxa" w:w="22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Outstanding</w:t>
            </w:r>
          </w:p>
        </w:tc>
        <w:tc>
          <w:tcPr>
            <w:tcW w:type="dxa" w:w="23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Utilisation</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01-Apr-2025 (opening)</w:t>
            </w:r>
          </w:p>
        </w:tc>
        <w:tc>
          <w:tcPr>
            <w:tcW w:type="dxa" w:w="2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2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180.3</w:t>
            </w:r>
          </w:p>
        </w:tc>
        <w:tc>
          <w:tcPr>
            <w:tcW w:type="dxa" w:w="23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72.1%</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30-Jun-2025</w:t>
            </w:r>
          </w:p>
        </w:tc>
        <w:tc>
          <w:tcPr>
            <w:tcW w:type="dxa" w:w="2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2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23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30-Sep-2025</w:t>
            </w:r>
          </w:p>
        </w:tc>
        <w:tc>
          <w:tcPr>
            <w:tcW w:type="dxa" w:w="2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2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23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31-Dec-2025</w:t>
            </w:r>
          </w:p>
        </w:tc>
        <w:tc>
          <w:tcPr>
            <w:tcW w:type="dxa" w:w="2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2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w:t>
            </w:r>
          </w:p>
        </w:tc>
        <w:tc>
          <w:tcPr>
            <w:tcW w:type="dxa" w:w="23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30-Mar-2026</w:t>
            </w:r>
          </w:p>
        </w:tc>
        <w:tc>
          <w:tcPr>
            <w:tcW w:type="dxa" w:w="2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2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129.0</w:t>
            </w:r>
          </w:p>
        </w:tc>
        <w:tc>
          <w:tcPr>
            <w:tcW w:type="dxa" w:w="23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51.6%</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21-Jul-2026 (latest)</w:t>
            </w:r>
          </w:p>
        </w:tc>
        <w:tc>
          <w:tcPr>
            <w:tcW w:type="dxa" w:w="2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2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252.1</w:t>
            </w:r>
          </w:p>
        </w:tc>
        <w:tc>
          <w:tcPr>
            <w:tcW w:type="dxa" w:w="23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100.8%</w:t>
            </w:r>
          </w:p>
        </w:tc>
      </w:tr>
    </w:tbl>
    <w:p>
      <w:pPr>
        <w:spacing w:after="80" w:before="80"/>
        <w:jc w:val="both"/>
      </w:pPr>
      <w:r>
        <w:rPr>
          <w:rFonts w:ascii="Arial" w:cs="Arial" w:eastAsia="Arial" w:hAnsi="Arial"/>
          <w:b w:val="false"/>
          <w:bCs w:val="false"/>
          <w:i/>
          <w:iCs/>
          <w:color w:val="000000"/>
          <w:sz w:val="18"/>
          <w:szCs w:val="18"/>
        </w:rPr>
        <w:t xml:space="preserve">Rs. lakh. Quarter-end balances were not extracted in the statement analysis supplied and are shown as not provided rather than estimated. Two observations follow. First, the trajectory from 51.6% at March to 100.8% in July is steep — roughly Rs. 123 lakh drawn in under four months — and should be explained against the inventory and order position. Second, and more materially, the provisional balance sheet records a bank overdraft of Rs. 178.56 lakh at 31-Mar-2026 while the cash credit statement shows approximately Rs. 129.00 lakh at 30-Mar-2026. A difference of roughly Rs. 49.6 lakh in the provisional accounts is unexplained; the Bank of India emergency credit line facility of Rs. 43.99 lakh cannot account for it, having been credited on 02-Jun-2026. This requires reconciliation before sanction.</w:t>
      </w:r>
    </w:p>
    <w:p>
      <w:pPr>
        <w:pStyle w:val="Heading2"/>
        <w:spacing w:after="80" w:before="160"/>
        <w:jc w:val="left"/>
      </w:pPr>
      <w:r>
        <w:rPr>
          <w:rFonts w:ascii="Arial" w:cs="Arial" w:eastAsia="Arial" w:hAnsi="Arial"/>
          <w:b/>
          <w:bCs/>
          <w:color w:val="2E75B6"/>
          <w:sz w:val="22"/>
          <w:szCs w:val="22"/>
        </w:rPr>
        <w:t xml:space="preserve">ITR Analysis</w:t>
      </w:r>
    </w:p>
    <w:p>
      <w:pPr>
        <w:spacing w:after="80" w:before="80"/>
        <w:jc w:val="both"/>
      </w:pPr>
      <w:r>
        <w:rPr>
          <w:rFonts w:ascii="Arial" w:cs="Arial" w:eastAsia="Arial" w:hAnsi="Arial"/>
          <w:b w:val="false"/>
          <w:bCs w:val="false"/>
          <w:i w:val="false"/>
          <w:iCs w:val="false"/>
          <w:color w:val="000000"/>
          <w:sz w:val="18"/>
          <w:szCs w:val="18"/>
        </w:rPr>
        <w:t xml:space="preserve">Returns in form ITR-5 were filed for both assessment years — acknowledgement 493682221240924 filed 24-Sep-2024 and acknowledgement 619364331211125 filed 21-Nov-2025. Profit before tax per the return agrees exactly with audited profit for FY 2023–24. For FY 2024–25 taxable business income exceeds audited profit by Rs. 2.34 lakh, and the difference reconciles precisely to disallowances for late remittance of provident fund of Rs. 2.19 lakh and employee state insurance of Rs. 0.16 lakh. Under the source hierarchy any difference between return and accounts is flagged, and it is flagged here — but the reconciliation is exact and the accounts and the return are internally consistent. What the exercise surfaces is the compliance pattern rather than an accounting discrepancy.</w:t>
      </w:r>
    </w:p>
    <w:p>
      <w:pPr>
        <w:spacing w:after="80" w:before="80"/>
        <w:jc w:val="both"/>
      </w:pPr>
      <w:r>
        <w:rPr>
          <w:rFonts w:ascii="Arial" w:cs="Arial" w:eastAsia="Arial" w:hAnsi="Arial"/>
          <w:b/>
          <w:bCs/>
          <w:i w:val="false"/>
          <w:iCs w:val="false"/>
          <w:color w:val="000000"/>
          <w:sz w:val="18"/>
          <w:szCs w:val="18"/>
        </w:rPr>
        <w:t xml:space="preserve">Tax alignment is where the return and the accounts genuinely part company. </w:t>
      </w:r>
      <w:r>
        <w:rPr>
          <w:rFonts w:ascii="Arial" w:cs="Arial" w:eastAsia="Arial" w:hAnsi="Arial"/>
          <w:b w:val="false"/>
          <w:bCs w:val="false"/>
          <w:i w:val="false"/>
          <w:iCs w:val="false"/>
          <w:color w:val="000000"/>
          <w:sz w:val="18"/>
          <w:szCs w:val="18"/>
        </w:rPr>
        <w:t xml:space="preserve">Gross tax liability was assessed at Rs. 8.13 lakh and Rs. 6.66 lakh in the two years and total taxes paid, including interest and fees, at Rs. 9.02 lakh and Rs. 7.49 lakh, discharged through advance tax, self-assessment tax, tax deducted at source and tax collected at source with no amount left payable and no refund due. The books, meanwhile, carry no tax charge at all. Payment behaviour is therefore compliant while presentation is not, and the analytical correction has been applied throughout Section 5. The second filing was made 21-Nov-2025, comfortably within the extended due date but seven and a half months after year end, and the audit report for that year is dated 07-Nov-2025 — a slower reporting cycle than the Bank of India sanction terms require, which stipulate audited financials within six months of year end.</w:t>
      </w:r>
    </w:p>
    <w:p>
      <w:pPr>
        <w:pStyle w:val="Heading2"/>
        <w:spacing w:after="80" w:before="160"/>
        <w:jc w:val="left"/>
      </w:pPr>
      <w:r>
        <w:rPr>
          <w:rFonts w:ascii="Arial" w:cs="Arial" w:eastAsia="Arial" w:hAnsi="Arial"/>
          <w:b/>
          <w:bCs/>
          <w:color w:val="2E75B6"/>
          <w:sz w:val="22"/>
          <w:szCs w:val="22"/>
        </w:rPr>
        <w:t xml:space="preserve">Reference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Reference</w:t>
            </w:r>
          </w:p>
        </w:tc>
        <w:tc>
          <w:tcPr>
            <w:tcW w:type="dxa" w:w="67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Status</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Existing lender — Bank of India, Lakkampatti Branch</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yet obtained. Sixteen months of statements evidence clean conduct with no returns; a written conduct and no-objection reference plus the current Rs. 250 lakh sanction letter must be obtained, since the pari passu ceding letter depends on it.</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Existing lender — SIDBI</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yet obtained. Facility of Rs. 88.50 lakh sanctioned 25-Feb-2026 under CGTMSE; conduct reference to be sought.</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Existing lender — Tata Capital</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yet obtained. Unsecured business loan of Rs. 30.50 lakh at 18% with instalments commencing 03-Apr-2026; conduct reference to be sought.</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Existing lender — Mahindra &amp; Mahindra Financial Services</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yet obtained. Two vehicle loans; conduct reference to be sought, with particular reference to the internally inconsistent entry for the second loan.</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Customer references</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yet obtained. Direct confirmation should be sought from Haul Material Handling, SRS Material Handling and Mtandt Rentals on order authenticity, payment terms and quality experience, given that these three names carry 88.5% of the confirmed order book.</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Supplier references</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yet obtained. Confirmation of credit terms and payment behaviour should be sought from at least two of Qmax Ion, Green Virtous Energy and Axiom Energy Conversion, since supplier credit funds 37.6 days of the cycle.</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Auditor / UDIN verification</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UDINs on record for all three audited years — 23217085BGSD005472, 24217085BKHCLG5236 and 25217085BMMNAM4185 — signed by R. Senthilkumar, membership number 217085, of Senthil Kumar and Sundararajan, firm registration number 011750S. To be validated on the Institute of Chartered Accountants of India portal before sanction.</w:t>
            </w:r>
          </w:p>
        </w:tc>
      </w:tr>
    </w:tbl>
    <w:p>
      <w:pPr>
        <w:pStyle w:val="Heading1"/>
        <w:pageBreakBefore/>
        <w:spacing w:after="120" w:before="160"/>
        <w:jc w:val="left"/>
      </w:pPr>
      <w:r>
        <w:rPr>
          <w:rFonts w:ascii="Arial" w:cs="Arial" w:eastAsia="Arial" w:hAnsi="Arial"/>
          <w:b/>
          <w:bCs/>
          <w:color w:val="1F3864"/>
          <w:sz w:val="26"/>
          <w:szCs w:val="26"/>
        </w:rPr>
        <w:t xml:space="preserve">SECTION 8: WORKING CAPITAL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460"/>
      </w:tblGrid>
      <w:tr>
        <w:trPr>
          <w:tblHeader/>
        </w:trPr>
        <w:tc>
          <w:tcPr>
            <w:tcW w:type="dxa" w:w="3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Step</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FY26 (actual)</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FY27 Mgmt</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FY27 ABC</w:t>
            </w:r>
          </w:p>
        </w:tc>
        <w:tc>
          <w:tcPr>
            <w:tcW w:type="dxa" w:w="14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Basis</w:t>
            </w:r>
          </w:p>
        </w:tc>
      </w:tr>
      <w:tr>
        <w:trPr>
          <w:tblHeader w:val="false"/>
        </w:trPr>
        <w:tc>
          <w:tcPr>
            <w:tcW w:type="dxa" w:w="3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1. Projected revenue</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3,080.7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5,040.0</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3,542.8</w:t>
            </w:r>
          </w:p>
        </w:tc>
        <w:tc>
          <w:tcPr>
            <w:tcW w:type="dxa" w:w="1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ABC per A3.7</w:t>
            </w:r>
          </w:p>
        </w:tc>
      </w:tr>
      <w:tr>
        <w:trPr>
          <w:tblHeader w:val="false"/>
        </w:trPr>
        <w:tc>
          <w:tcPr>
            <w:tcW w:type="dxa" w:w="3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2. Monthly revenue</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256.7</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420.0</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295.2</w:t>
            </w:r>
          </w:p>
        </w:tc>
        <w:tc>
          <w:tcPr>
            <w:tcW w:type="dxa" w:w="1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Step 1 / 12</w:t>
            </w:r>
          </w:p>
        </w:tc>
      </w:tr>
      <w:tr>
        <w:trPr>
          <w:tblHeader w:val="false"/>
        </w:trPr>
        <w:tc>
          <w:tcPr>
            <w:tcW w:type="dxa" w:w="3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3. Computed WC cycle days</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49.7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52.9</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49.7</w:t>
            </w:r>
          </w:p>
        </w:tc>
        <w:tc>
          <w:tcPr>
            <w:tcW w:type="dxa" w:w="1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A3.5, held at FY26 actual for ABC</w:t>
            </w:r>
          </w:p>
        </w:tc>
      </w:tr>
      <w:tr>
        <w:trPr>
          <w:tblHeader w:val="false"/>
        </w:trPr>
        <w:tc>
          <w:tcPr>
            <w:tcW w:type="dxa" w:w="3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4. Total current assets (excl. cash)</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672.7</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1,128.3</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771.9</w:t>
            </w:r>
          </w:p>
        </w:tc>
        <w:tc>
          <w:tcPr>
            <w:tcW w:type="dxa" w:w="1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At computed days</w:t>
            </w:r>
          </w:p>
        </w:tc>
      </w:tr>
      <w:tr>
        <w:trPr>
          <w:tblHeader w:val="false"/>
        </w:trPr>
        <w:tc>
          <w:tcPr>
            <w:tcW w:type="dxa" w:w="3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5. Other current liabilities (non-bank)</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310.5</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468.0</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335.1</w:t>
            </w:r>
          </w:p>
        </w:tc>
        <w:tc>
          <w:tcPr>
            <w:tcW w:type="dxa" w:w="1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At computed creditor days</w:t>
            </w:r>
          </w:p>
        </w:tc>
      </w:tr>
      <w:tr>
        <w:trPr>
          <w:tblHeader w:val="false"/>
        </w:trPr>
        <w:tc>
          <w:tcPr>
            <w:tcW w:type="dxa" w:w="3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6. Working capital gap (4 − 5)</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362.2</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660.3</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436.7</w:t>
            </w:r>
          </w:p>
        </w:tc>
        <w:tc>
          <w:tcPr>
            <w:tcW w:type="dxa" w:w="1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Peak gross requirement</w:t>
            </w:r>
          </w:p>
        </w:tc>
      </w:tr>
      <w:tr>
        <w:trPr>
          <w:tblHeader w:val="false"/>
        </w:trPr>
        <w:tc>
          <w:tcPr>
            <w:tcW w:type="dxa" w:w="3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7. Minimum stipulated NWC at 25% of TCA</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170.54</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320.65</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192.97</w:t>
            </w:r>
          </w:p>
        </w:tc>
        <w:tc>
          <w:tcPr>
            <w:tcW w:type="dxa" w:w="1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Margin requirement</w:t>
            </w:r>
          </w:p>
        </w:tc>
      </w:tr>
      <w:tr>
        <w:trPr>
          <w:tblHeader w:val="false"/>
        </w:trPr>
        <w:tc>
          <w:tcPr>
            <w:tcW w:type="dxa" w:w="3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8. Actual / projected NWC</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82.7</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125.6</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22.0</w:t>
            </w:r>
          </w:p>
        </w:tc>
        <w:tc>
          <w:tcPr>
            <w:tcW w:type="dxa" w:w="1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Own contribution</w:t>
            </w:r>
          </w:p>
        </w:tc>
      </w:tr>
      <w:tr>
        <w:trPr>
          <w:tblHeader w:val="false"/>
        </w:trPr>
        <w:tc>
          <w:tcPr>
            <w:tcW w:type="dxa" w:w="3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9. Item 6 − Item 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191.7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339.7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243.7</w:t>
            </w:r>
          </w:p>
        </w:tc>
        <w:tc>
          <w:tcPr>
            <w:tcW w:type="dxa" w:w="1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Method II</w:t>
            </w:r>
          </w:p>
        </w:tc>
      </w:tr>
      <w:tr>
        <w:trPr>
          <w:tblHeader w:val="false"/>
        </w:trPr>
        <w:tc>
          <w:tcPr>
            <w:tcW w:type="dxa" w:w="3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10. Item 6 − Item 8</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279.5</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534.7</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414.7</w:t>
            </w:r>
          </w:p>
        </w:tc>
        <w:tc>
          <w:tcPr>
            <w:tcW w:type="dxa" w:w="1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Method I</w:t>
            </w:r>
          </w:p>
        </w:tc>
      </w:tr>
      <w:tr>
        <w:trPr>
          <w:tblHeader w:val="false"/>
        </w:trPr>
        <w:tc>
          <w:tcPr>
            <w:tcW w:type="dxa" w:w="3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11. MPBF (lower of 9 and 10)</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191.7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339.7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243.7</w:t>
            </w:r>
          </w:p>
        </w:tc>
        <w:tc>
          <w:tcPr>
            <w:tcW w:type="dxa" w:w="1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Assessed bank finance</w:t>
            </w:r>
          </w:p>
        </w:tc>
      </w:tr>
      <w:tr>
        <w:trPr>
          <w:tblHeader w:val="false"/>
        </w:trPr>
        <w:tc>
          <w:tcPr>
            <w:tcW w:type="dxa" w:w="3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12. Less: existing Bank of India CC</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1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Existing limit</w:t>
            </w:r>
          </w:p>
        </w:tc>
      </w:tr>
      <w:tr>
        <w:trPr>
          <w:tblHeader w:val="false"/>
        </w:trPr>
        <w:tc>
          <w:tcPr>
            <w:tcW w:type="dxa" w:w="3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13. Residual assessed requirement</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(58.3)</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89.7</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(6.3)</w:t>
            </w:r>
          </w:p>
        </w:tc>
        <w:tc>
          <w:tcPr>
            <w:tcW w:type="dxa" w:w="1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Item 11 − Item 12</w:t>
            </w:r>
          </w:p>
        </w:tc>
      </w:tr>
      <w:tr>
        <w:trPr>
          <w:tblHeader w:val="false"/>
        </w:trPr>
        <w:tc>
          <w:tcPr>
            <w:tcW w:type="dxa" w:w="3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14. Recommended Evam limit</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c>
          <w:tcPr>
            <w:tcW w:type="dxa" w:w="1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See commentary</w:t>
            </w:r>
          </w:p>
        </w:tc>
      </w:tr>
    </w:tbl>
    <w:p>
      <w:pPr>
        <w:spacing w:after="80" w:before="80"/>
        <w:jc w:val="both"/>
      </w:pPr>
      <w:r>
        <w:rPr>
          <w:rFonts w:ascii="Arial" w:cs="Arial" w:eastAsia="Arial" w:hAnsi="Arial"/>
          <w:b w:val="false"/>
          <w:bCs w:val="false"/>
          <w:i/>
          <w:iCs/>
          <w:color w:val="000000"/>
          <w:sz w:val="18"/>
          <w:szCs w:val="18"/>
        </w:rPr>
        <w:t xml:space="preserve">Rs. lakh. Cycle days used at step 3 are the independently computed figures from Section 5, not management’s assertion. The management case at steps 1 to 11 reproduces the borrower’s own maximum permissible bank finance working, which has been verified and is arithmetically correct.</w:t>
      </w:r>
    </w:p>
    <w:p>
      <w:pPr>
        <w:pStyle w:val="Heading2"/>
        <w:spacing w:after="80" w:before="160"/>
        <w:jc w:val="left"/>
      </w:pPr>
      <w:r>
        <w:rPr>
          <w:rFonts w:ascii="Arial" w:cs="Arial" w:eastAsia="Arial" w:hAnsi="Arial"/>
          <w:b/>
          <w:bCs/>
          <w:color w:val="2E75B6"/>
          <w:sz w:val="22"/>
          <w:szCs w:val="22"/>
        </w:rPr>
        <w:t xml:space="preserve">Commentary</w:t>
      </w:r>
    </w:p>
    <w:p>
      <w:pPr>
        <w:spacing w:after="80" w:before="80"/>
        <w:jc w:val="both"/>
      </w:pPr>
      <w:r>
        <w:rPr>
          <w:rFonts w:ascii="Arial" w:cs="Arial" w:eastAsia="Arial" w:hAnsi="Arial"/>
          <w:b/>
          <w:bCs/>
          <w:i w:val="false"/>
          <w:iCs w:val="false"/>
          <w:color w:val="000000"/>
          <w:sz w:val="18"/>
          <w:szCs w:val="18"/>
        </w:rPr>
        <w:t xml:space="preserve">Sizing is at the upper end of what the arithmetic supports, and the committee should sanction it knowingly rather than accidentally. </w:t>
      </w:r>
      <w:r>
        <w:rPr>
          <w:rFonts w:ascii="Arial" w:cs="Arial" w:eastAsia="Arial" w:hAnsi="Arial"/>
          <w:b w:val="false"/>
          <w:bCs w:val="false"/>
          <w:i w:val="false"/>
          <w:iCs w:val="false"/>
          <w:color w:val="000000"/>
          <w:sz w:val="18"/>
          <w:szCs w:val="18"/>
        </w:rPr>
        <w:t xml:space="preserve">On management's projection the assessed requirement leaves a residual of Rs. 89.66 lakh once the existing cash credit is deducted, so a Rs. 100 lakh limit is a modest over-sanction of Rs. 10.34 lakh, or three per cent. On the Analyst Base Case the residual is negative: at Rs. 3,542.79 lakh of turnover the assessed maximum permissible finance of Rs. 243.74 lakh is already covered by Bank of India's Rs. 250 lakh, and the whole of Evam's limit is incremental to assessed need.</w:t>
      </w:r>
    </w:p>
    <w:p>
      <w:pPr>
        <w:spacing w:after="80" w:before="80"/>
        <w:jc w:val="both"/>
      </w:pPr>
      <w:r>
        <w:rPr>
          <w:rFonts w:ascii="Arial" w:cs="Arial" w:eastAsia="Arial" w:hAnsi="Arial"/>
          <w:b/>
          <w:bCs/>
          <w:i w:val="false"/>
          <w:iCs w:val="false"/>
          <w:color w:val="000000"/>
          <w:sz w:val="18"/>
          <w:szCs w:val="18"/>
        </w:rPr>
        <w:t xml:space="preserve">Three considerations nonetheless support the Rs. 100 lakh, and they should be recorded rather than glossed. </w:t>
      </w:r>
      <w:r>
        <w:rPr>
          <w:rFonts w:ascii="Arial" w:cs="Arial" w:eastAsia="Arial" w:hAnsi="Arial"/>
          <w:b w:val="false"/>
          <w:bCs w:val="false"/>
          <w:i w:val="false"/>
          <w:iCs w:val="false"/>
          <w:color w:val="000000"/>
          <w:sz w:val="18"/>
          <w:szCs w:val="18"/>
        </w:rPr>
        <w:t xml:space="preserve">First, the maximum permissible finance calculation is an annual average construct while the requirement is seasonal, and Bank of India is presently drawn at 100.8% of its limit with an overdrawing of Rs. 2.11 lakh — there is no headroom anywhere in the system for a peak, which is a real and immediate constraint regardless of what the annual arithmetic says. Second, the facility replaces Rs. 110.42 lakh of third-party unsecured borrowing at undisclosed terms with regulated money at a known rate, which improves the borrower's liability profile even if it does not expand the assessed need. Third, the revolving structure is self-regulating: drawdowns of 30 to 120 days repaid bullet mean the borrower can only carry what its cycle actually generates, so an unused portion of the limit costs nothing and creates no exposure.</w:t>
      </w:r>
    </w:p>
    <w:p>
      <w:pPr>
        <w:spacing w:after="80" w:before="80"/>
        <w:jc w:val="both"/>
      </w:pPr>
      <w:r>
        <w:rPr>
          <w:rFonts w:ascii="Arial" w:cs="Arial" w:eastAsia="Arial" w:hAnsi="Arial"/>
          <w:b/>
          <w:bCs/>
          <w:i w:val="false"/>
          <w:iCs w:val="false"/>
          <w:color w:val="000000"/>
          <w:sz w:val="18"/>
          <w:szCs w:val="18"/>
        </w:rPr>
        <w:t xml:space="preserve">Under the debtor stretch the sizing is exposed rather than conservative. </w:t>
      </w:r>
      <w:r>
        <w:rPr>
          <w:rFonts w:ascii="Arial" w:cs="Arial" w:eastAsia="Arial" w:hAnsi="Arial"/>
          <w:b w:val="false"/>
          <w:bCs w:val="false"/>
          <w:i w:val="false"/>
          <w:iCs w:val="false"/>
          <w:color w:val="000000"/>
          <w:sz w:val="18"/>
          <w:szCs w:val="18"/>
        </w:rPr>
        <w:t xml:space="preserve">A thirty-day deterioration in collection on the Analyst Base Case absorbs Rs. 291.19 lakh of additional working capital, against which the full Evam limit meets a third and Bank of India meets nothing. Even a fifteen-day stretch requires Rs. 145.59 lakh and exceeds the proposed facility on its own. The facility is therefore sized for the cycle as it currently runs and offers no cushion for a deteriorating one — which is an argument for tying drawdowns to documented receivables and orders, so that utilisation contracts automatically if the cycle lengthens rather than being absorbed by a stretch. That mechanism is recommended in Section 11 and is, in this transaction, more important than the headline limit.</w:t>
      </w:r>
    </w:p>
    <w:p>
      <w:pPr>
        <w:spacing w:after="80" w:before="80"/>
        <w:jc w:val="both"/>
      </w:pPr>
      <w:r>
        <w:rPr>
          <w:rFonts w:ascii="Arial" w:cs="Arial" w:eastAsia="Arial" w:hAnsi="Arial"/>
          <w:b w:val="false"/>
          <w:bCs w:val="false"/>
          <w:i/>
          <w:iCs/>
          <w:color w:val="000000"/>
          <w:sz w:val="18"/>
          <w:szCs w:val="18"/>
        </w:rPr>
        <w:t xml:space="preserve">Assessment: appropriate on the management case, generous on the Analyst Base Case, and acceptable on balance given the absence of headroom elsewhere — but only with drawdown discipline attached and a commitment to review the limit downward at renewal if delivered turnover falls materially short of Rs. 4,200 lakh.</w:t>
      </w:r>
    </w:p>
    <w:p>
      <w:pPr>
        <w:pStyle w:val="Heading1"/>
        <w:pageBreakBefore/>
        <w:spacing w:after="120" w:before="160"/>
        <w:jc w:val="left"/>
      </w:pPr>
      <w:r>
        <w:rPr>
          <w:rFonts w:ascii="Arial" w:cs="Arial" w:eastAsia="Arial" w:hAnsi="Arial"/>
          <w:b/>
          <w:bCs/>
          <w:color w:val="1F3864"/>
          <w:sz w:val="26"/>
          <w:szCs w:val="26"/>
        </w:rPr>
        <w:t xml:space="preserve">SECTION 9: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rPr>
          <w:tblHeader/>
        </w:trPr>
        <w:tc>
          <w:tcPr>
            <w:tcW w:type="dxa" w:w="1600"/>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Facility</w:t>
            </w:r>
          </w:p>
        </w:tc>
        <w:tc>
          <w:tcPr>
            <w:tcW w:type="dxa" w:w="5960"/>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Security Stipulated</w:t>
            </w:r>
          </w:p>
        </w:tc>
        <w:tc>
          <w:tcPr>
            <w:tcW w:type="dxa" w:w="1800"/>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Perfection Timeline</w:t>
            </w:r>
          </w:p>
        </w:tc>
      </w:tr>
      <w:tr>
        <w:tc>
          <w:tcPr>
            <w:tcW w:type="dxa" w:w="1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20" w:before="0"/>
            </w:pPr>
            <w:r>
              <w:rPr>
                <w:rFonts w:ascii="Arial" w:cs="Arial" w:eastAsia="Arial" w:hAnsi="Arial"/>
                <w:b/>
                <w:bCs/>
                <w:sz w:val="18"/>
                <w:szCs w:val="18"/>
              </w:rPr>
              <w:t xml:space="preserve">Working Capital Loan Rs. 100 lakh</w:t>
            </w:r>
          </w:p>
        </w:tc>
        <w:tc>
          <w:tcPr>
            <w:tcW w:type="dxa" w:w="59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20" w:before="0"/>
            </w:pPr>
            <w:r>
              <w:rPr>
                <w:rFonts w:ascii="Arial" w:cs="Arial" w:eastAsia="Arial" w:hAnsi="Arial"/>
                <w:b/>
                <w:bCs/>
                <w:i w:val="false"/>
                <w:iCs w:val="false"/>
                <w:sz w:val="18"/>
                <w:szCs w:val="18"/>
              </w:rPr>
              <w:t xml:space="preserve">Primary</w:t>
            </w:r>
          </w:p>
          <w:p>
            <w:pPr>
              <w:spacing w:after="20" w:before="0"/>
            </w:pPr>
            <w:r>
              <w:rPr>
                <w:rFonts w:ascii="Arial" w:cs="Arial" w:eastAsia="Arial" w:hAnsi="Arial"/>
                <w:b w:val="false"/>
                <w:bCs w:val="false"/>
                <w:sz w:val="18"/>
                <w:szCs w:val="18"/>
              </w:rPr>
              <w:t xml:space="preserve">First-ranking pari passu charge by way of hypothecation over all present and future current assets and movable fixed assets of the Borrower, alongside Bank of India, excluding assets specifically charged to and financed by other lenders. The pool comprises inventory of Rs. 461.76 lakh, trade receivables of Rs. 171.14 lakh and loans and advances of Rs. 39.83 lakh at 31-Mar-2026.</w:t>
            </w:r>
          </w:p>
          <w:p>
            <w:pPr>
              <w:spacing w:after="20" w:before="0"/>
            </w:pPr>
            <w:r>
              <w:rPr>
                <w:rFonts w:ascii="Arial" w:cs="Arial" w:eastAsia="Arial" w:hAnsi="Arial"/>
                <w:b/>
                <w:bCs/>
                <w:i w:val="false"/>
                <w:iCs w:val="false"/>
                <w:sz w:val="18"/>
                <w:szCs w:val="18"/>
              </w:rPr>
              <w:t xml:space="preserve">Secondary</w:t>
            </w:r>
          </w:p>
          <w:p>
            <w:pPr>
              <w:spacing w:after="20" w:before="0"/>
            </w:pPr>
            <w:r>
              <w:rPr>
                <w:rFonts w:ascii="Arial" w:cs="Arial" w:eastAsia="Arial" w:hAnsi="Arial"/>
                <w:b w:val="false"/>
                <w:bCs w:val="false"/>
                <w:sz w:val="18"/>
                <w:szCs w:val="18"/>
              </w:rPr>
              <w:t xml:space="preserve">None stipulated. Machinery financed under the two Bank of India term loans and the SIDBI facility, and vehicles financed by Mahindra &amp; Mahindra Financial Services, are specifically charged to those lenders and fall outside Evam’s pool.</w:t>
            </w:r>
          </w:p>
          <w:p>
            <w:pPr>
              <w:spacing w:after="20" w:before="0"/>
            </w:pPr>
            <w:r>
              <w:rPr>
                <w:rFonts w:ascii="Arial" w:cs="Arial" w:eastAsia="Arial" w:hAnsi="Arial"/>
                <w:b/>
                <w:bCs/>
                <w:i w:val="false"/>
                <w:iCs w:val="false"/>
                <w:sz w:val="18"/>
                <w:szCs w:val="18"/>
              </w:rPr>
              <w:t xml:space="preserve">Collateral</w:t>
            </w:r>
          </w:p>
          <w:p>
            <w:pPr>
              <w:spacing w:after="20" w:before="0"/>
            </w:pPr>
            <w:r>
              <w:rPr>
                <w:rFonts w:ascii="Arial" w:cs="Arial" w:eastAsia="Arial" w:hAnsi="Arial"/>
                <w:b w:val="false"/>
                <w:bCs w:val="false"/>
                <w:sz w:val="18"/>
                <w:szCs w:val="18"/>
              </w:rPr>
              <w:t xml:space="preserve">Cash collateral of Rs. 10 lakh, being 10.0% of the sanctioned amount, held as an interest-free deposit with Evam for the tenor. No immovable property collateral is stipulated, and it is noted that every immovable property declared by the guarantors is already mortgaged.</w:t>
            </w:r>
          </w:p>
          <w:p>
            <w:pPr>
              <w:spacing w:after="20" w:before="0"/>
            </w:pPr>
            <w:r>
              <w:rPr>
                <w:rFonts w:ascii="Arial" w:cs="Arial" w:eastAsia="Arial" w:hAnsi="Arial"/>
                <w:b/>
                <w:bCs/>
                <w:i w:val="false"/>
                <w:iCs w:val="false"/>
                <w:sz w:val="18"/>
                <w:szCs w:val="18"/>
              </w:rPr>
              <w:t xml:space="preserve">Personal Guarantee</w:t>
            </w:r>
          </w:p>
          <w:p>
            <w:pPr>
              <w:spacing w:after="20" w:before="0"/>
            </w:pPr>
            <w:r>
              <w:rPr>
                <w:rFonts w:ascii="Arial" w:cs="Arial" w:eastAsia="Arial" w:hAnsi="Arial"/>
                <w:b w:val="false"/>
                <w:bCs w:val="false"/>
                <w:sz w:val="18"/>
                <w:szCs w:val="18"/>
              </w:rPr>
              <w:t xml:space="preserve">Joint and several personal guarantees of Mr. Gowrisankar Shivrane, Mr. Aravind Siddharth S, Mr. Pranav S Kumar and Mr. Siddhaarth A B. Aggregate declared net worth Rs. 407.93 lakh; realistic short-notice realisable support assessed at Rs. 60–80 lakh for the reasons set out in Section 2.</w:t>
            </w:r>
          </w:p>
          <w:p>
            <w:pPr>
              <w:spacing w:after="20" w:before="0"/>
            </w:pPr>
            <w:r>
              <w:rPr>
                <w:rFonts w:ascii="Arial" w:cs="Arial" w:eastAsia="Arial" w:hAnsi="Arial"/>
                <w:b/>
                <w:bCs/>
                <w:i w:val="false"/>
                <w:iCs w:val="false"/>
                <w:sz w:val="18"/>
                <w:szCs w:val="18"/>
              </w:rPr>
              <w:t xml:space="preserve">Undated Cheques</w:t>
            </w:r>
          </w:p>
          <w:p>
            <w:pPr>
              <w:spacing w:after="20" w:before="0"/>
            </w:pPr>
            <w:r>
              <w:rPr>
                <w:rFonts w:ascii="Arial" w:cs="Arial" w:eastAsia="Arial" w:hAnsi="Arial"/>
                <w:b w:val="false"/>
                <w:bCs w:val="false"/>
                <w:sz w:val="18"/>
                <w:szCs w:val="18"/>
              </w:rPr>
              <w:t xml:space="preserve">Two undated cheques from the Borrower and from each Personal Guarantor. Escrow or digital escrow account where applicable. NACH mandate or ECS registration on the designated repayment account in favour of Evam Finance.</w:t>
            </w:r>
          </w:p>
        </w:tc>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20" w:before="0"/>
            </w:pPr>
            <w:r>
              <w:rPr>
                <w:rFonts w:ascii="Arial" w:cs="Arial" w:eastAsia="Arial" w:hAnsi="Arial"/>
                <w:b w:val="false"/>
                <w:bCs w:val="false"/>
                <w:sz w:val="18"/>
                <w:szCs w:val="18"/>
              </w:rPr>
              <w:t xml:space="preserve">Hypothecation deed executed and charge created at first disbursement.</w:t>
            </w:r>
          </w:p>
          <w:p>
            <w:pPr>
              <w:spacing w:after="20" w:before="0"/>
            </w:pPr>
            <w:r>
              <w:rPr>
                <w:rFonts w:ascii="Arial" w:cs="Arial" w:eastAsia="Arial" w:hAnsi="Arial"/>
                <w:b w:val="false"/>
                <w:bCs w:val="false"/>
                <w:sz w:val="18"/>
                <w:szCs w:val="18"/>
              </w:rPr>
              <w:t xml:space="preserve">Pari passu ceding letter from Bank of India within 90 days of first disbursement.</w:t>
            </w:r>
          </w:p>
          <w:p>
            <w:pPr>
              <w:spacing w:after="20" w:before="0"/>
            </w:pPr>
            <w:r>
              <w:rPr>
                <w:rFonts w:ascii="Arial" w:cs="Arial" w:eastAsia="Arial" w:hAnsi="Arial"/>
                <w:b w:val="false"/>
                <w:bCs w:val="false"/>
                <w:sz w:val="18"/>
                <w:szCs w:val="18"/>
              </w:rPr>
              <w:t xml:space="preserve">CERSAI registration and Registrar of Firms filing within the timelines in the Facility Agreement.</w:t>
            </w:r>
          </w:p>
          <w:p>
            <w:pPr>
              <w:spacing w:after="20" w:before="0"/>
            </w:pPr>
            <w:r>
              <w:rPr>
                <w:rFonts w:ascii="Arial" w:cs="Arial" w:eastAsia="Arial" w:hAnsi="Arial"/>
                <w:b w:val="false"/>
                <w:bCs w:val="false"/>
                <w:sz w:val="18"/>
                <w:szCs w:val="18"/>
              </w:rPr>
              <w:t xml:space="preserve">Cash collateral, NACH mandate and undated cheques in place before first disbursement.</w:t>
            </w:r>
          </w:p>
          <w:p>
            <w:pPr>
              <w:spacing w:after="20" w:before="0"/>
            </w:pPr>
            <w:r>
              <w:rPr>
                <w:rFonts w:ascii="Arial" w:cs="Arial" w:eastAsia="Arial" w:hAnsi="Arial"/>
                <w:b w:val="false"/>
                <w:bCs w:val="false"/>
                <w:sz w:val="18"/>
                <w:szCs w:val="18"/>
              </w:rPr>
              <w:t xml:space="preserve">Insurance over hypothecated assets endorsed in favour of Evam within 30 days of first disbursement.</w:t>
            </w:r>
          </w:p>
          <w:p>
            <w:pPr>
              <w:spacing w:after="20" w:before="0"/>
            </w:pPr>
            <w:r>
              <w:rPr>
                <w:rFonts w:ascii="Arial" w:cs="Arial" w:eastAsia="Arial" w:hAnsi="Arial"/>
                <w:b w:val="false"/>
                <w:bCs w:val="false"/>
                <w:sz w:val="18"/>
                <w:szCs w:val="18"/>
              </w:rPr>
              <w:t xml:space="preserve">Independent valuation and encumbrance certificates on all guarantor immovable property before first disbursement.</w:t>
            </w:r>
          </w:p>
        </w:tc>
      </w:tr>
    </w:tbl>
    <w:p>
      <w:pPr>
        <w:pStyle w:val="Heading2"/>
        <w:spacing w:after="80" w:before="160"/>
        <w:jc w:val="left"/>
      </w:pPr>
      <w:r>
        <w:rPr>
          <w:rFonts w:ascii="Arial" w:cs="Arial" w:eastAsia="Arial" w:hAnsi="Arial"/>
          <w:b/>
          <w:bCs/>
          <w:color w:val="2E75B6"/>
          <w:sz w:val="22"/>
          <w:szCs w:val="22"/>
        </w:rPr>
        <w:t xml:space="preserve">Security Adequacy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500"/>
        <w:gridCol w:w="1600"/>
        <w:gridCol w:w="1760"/>
      </w:tblGrid>
      <w:tr>
        <w:trPr>
          <w:tblHeader/>
        </w:trPr>
        <w:tc>
          <w:tcPr>
            <w:tcW w:type="dxa" w:w="2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Asset in Evam’s pool</w:t>
            </w:r>
          </w:p>
        </w:tc>
        <w:tc>
          <w:tcPr>
            <w:tcW w:type="dxa" w:w="1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Book value</w:t>
            </w:r>
          </w:p>
        </w:tc>
        <w:tc>
          <w:tcPr>
            <w:tcW w:type="dxa" w:w="15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Haircut</w:t>
            </w:r>
          </w:p>
        </w:tc>
        <w:tc>
          <w:tcPr>
            <w:tcW w:type="dxa" w:w="1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Realisable</w:t>
            </w:r>
          </w:p>
        </w:tc>
        <w:tc>
          <w:tcPr>
            <w:tcW w:type="dxa" w:w="17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Note</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Inventory</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461.8</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45%</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254.0</w:t>
            </w:r>
          </w:p>
        </w:tc>
        <w:tc>
          <w:tcPr>
            <w:tcW w:type="dxa" w:w="1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Cells depreciate as global prices fall</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Trade receivables</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171.1</w:t>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128.4</w:t>
            </w:r>
          </w:p>
        </w:tc>
        <w:tc>
          <w:tcPr>
            <w:tcW w:type="dxa" w:w="1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 government or PSU debtors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current asset pool</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632.9</w:t>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382.3</w:t>
            </w:r>
          </w:p>
        </w:tc>
        <w:tc>
          <w:tcPr>
            <w:tcW w:type="dxa" w:w="1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Claims: Bank of India CC</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1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Pari passu</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Claims: proposed Evam WCL</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c>
          <w:tcPr>
            <w:tcW w:type="dxa" w:w="1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Pari passu</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pari passu claims</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5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350.0</w:t>
            </w:r>
          </w:p>
        </w:tc>
        <w:tc>
          <w:tcPr>
            <w:tcW w:type="dxa" w:w="1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Coverage (x)</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5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1.09</w:t>
            </w:r>
          </w:p>
        </w:tc>
        <w:tc>
          <w:tcPr>
            <w:tcW w:type="dxa" w:w="1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Plus Rs. 10 lakh cash collateral</w:t>
            </w:r>
          </w:p>
        </w:tc>
      </w:tr>
    </w:tbl>
    <w:p>
      <w:pPr>
        <w:spacing w:after="80" w:before="80"/>
        <w:jc w:val="both"/>
      </w:pPr>
      <w:r>
        <w:rPr>
          <w:rFonts w:ascii="Arial" w:cs="Arial" w:eastAsia="Arial" w:hAnsi="Arial"/>
          <w:b w:val="false"/>
          <w:bCs w:val="false"/>
          <w:i/>
          <w:iCs/>
          <w:color w:val="000000"/>
          <w:sz w:val="18"/>
          <w:szCs w:val="18"/>
        </w:rPr>
        <w:t xml:space="preserve">Rs. lakh. Fixed assets of Rs. 146.21 lakh are excluded because the substantial part is specifically charged to term lenders; on a 55% haircut they would add Rs. 65.79 lakh of residual value ranking behind those charges.</w:t>
      </w:r>
    </w:p>
    <w:p>
      <w:pPr>
        <w:spacing w:after="80" w:before="80"/>
        <w:jc w:val="both"/>
      </w:pPr>
      <w:r>
        <w:rPr>
          <w:rFonts w:ascii="Arial" w:cs="Arial" w:eastAsia="Arial" w:hAnsi="Arial"/>
          <w:b/>
          <w:bCs/>
          <w:i w:val="false"/>
          <w:iCs w:val="false"/>
          <w:color w:val="000000"/>
          <w:sz w:val="18"/>
          <w:szCs w:val="18"/>
        </w:rPr>
        <w:t xml:space="preserve">The security package satisfies the term sheet’s minimum 1.0 times cover requirement with almost no margin, and the margin is entirely a function of inventory realisation. </w:t>
      </w:r>
      <w:r>
        <w:rPr>
          <w:rFonts w:ascii="Arial" w:cs="Arial" w:eastAsia="Arial" w:hAnsi="Arial"/>
          <w:b w:val="false"/>
          <w:bCs w:val="false"/>
          <w:i w:val="false"/>
          <w:iCs w:val="false"/>
          <w:color w:val="000000"/>
          <w:sz w:val="18"/>
          <w:szCs w:val="18"/>
        </w:rPr>
        <w:t xml:space="preserve">At a 45% inventory haircut coverage is 1.09 times; at a 55% haircut it falls to 0.95 times and the covenant breaches. Because stock is two-thirds of the pool, Evam's security is in substance an inventory position dressed as a charge over current assets, and the quality of that inventory — not the existence of the charge — determines recovery. The Rs. 10 lakh cash collateral is genuinely useful here because it is the only element of the package that is certain, immediate and outside the borrower's control. The four personal guarantees add pressure and behavioural discipline rather than realisable value, for the reasons set out in Section 2.</w:t>
      </w:r>
    </w:p>
    <w:p>
      <w:pPr>
        <w:pStyle w:val="Heading1"/>
        <w:pageBreakBefore/>
        <w:spacing w:after="120" w:before="160"/>
        <w:jc w:val="left"/>
      </w:pPr>
      <w:r>
        <w:rPr>
          <w:rFonts w:ascii="Arial" w:cs="Arial" w:eastAsia="Arial" w:hAnsi="Arial"/>
          <w:b/>
          <w:bCs/>
          <w:color w:val="1F3864"/>
          <w:sz w:val="26"/>
          <w:szCs w:val="26"/>
        </w:rPr>
        <w:t xml:space="preserve">SECTION 10: PRE-SANCTION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Parameter</w:t>
            </w:r>
          </w:p>
        </w:tc>
        <w:tc>
          <w:tcPr>
            <w:tcW w:type="dxa" w:w="64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Details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Date of inspection</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 — pre-sanction inspection not yet carried out</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Address inspected</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To be conducted at 675/4A1 Part, Opp. MG Car Showroom, Avinashi Main Road, Chinniyampalayam, Coimbatore 641062, and at every other production or storage premises identified by the borrower, including the premises to which the "Factory Rent – Saraswathi (Unit-1)" payable relates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Inspected by</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 — to be conducted jointly by the relationship manager and the credit analyst</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Observations</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NA (not provided). The inspection has not been performed and no observations can be recorded. Given the findings in this memorandum, the inspection is not a formality and should specifically cover: physical verification and ageing of the Rs. 461.76 lakh inventory, distinguishing cells, components, work in progress and finished packs, and identifying any stock held beyond 180 days or in chemistries no longer sold; identification of every premises occupied, with lease deeds and confirmation of whether the second unit implied by the profile and the payables schedule exists; sighting of production and despatch logs in kWh for the last twelve months to verify the derived utilisation of approximately 49%; sighting of the ISO 9001:2015 certificate and of any AIS-156 or BIS certification; confirmation that Evam’s hypothecation board can be displayed and that no other lender’s board is displayed over the same current assets; enquiry into whether any stock on the premises belongs to Pinnacle Lithium Power Private Limited or to Pinnacle Power Systems; and headcount verification against the latest provident fund return.</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Photographs</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To be taken and placed on file: external premises with signage, assembly line, testing area, cell storage, finished goods area, and the hypothecation board once affixed. No photographs are presently on record.</w:t>
            </w:r>
          </w:p>
        </w:tc>
      </w:tr>
    </w:tbl>
    <w:p>
      <w:pPr>
        <w:pStyle w:val="Heading1"/>
        <w:pageBreakBefore/>
        <w:spacing w:after="120" w:before="160"/>
        <w:jc w:val="left"/>
      </w:pPr>
      <w:r>
        <w:rPr>
          <w:rFonts w:ascii="Arial" w:cs="Arial" w:eastAsia="Arial" w:hAnsi="Arial"/>
          <w:b/>
          <w:bCs/>
          <w:color w:val="1F3864"/>
          <w:sz w:val="26"/>
          <w:szCs w:val="26"/>
        </w:rPr>
        <w:t xml:space="preserve">SECTION 11: RECOMMENDATIONS</w:t>
      </w:r>
    </w:p>
    <w:p>
      <w:pPr>
        <w:spacing w:after="80" w:before="80"/>
        <w:jc w:val="both"/>
      </w:pPr>
      <w:r>
        <w:rPr>
          <w:rFonts w:ascii="Arial" w:cs="Arial" w:eastAsia="Arial" w:hAnsi="Arial"/>
          <w:b/>
          <w:bCs/>
          <w:i w:val="false"/>
          <w:iCs w:val="false"/>
          <w:color w:val="000000"/>
          <w:sz w:val="18"/>
          <w:szCs w:val="18"/>
        </w:rPr>
        <w:t xml:space="preserve">We recommend sanction of a revolving Working Capital Loan of Rs. 100 lakh on the basis of the following:</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Revenue is independently verified to an unusual standard for this segment: goods and services tax outward supplies declared in the returns agree with audited sales to the rupee in both audited years, and banked collections equal 95.9% of goods and services tax inclusive billings, of which 82.4% passes through the working capital lender’s account.</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Debt service holds on a conservative case. Recomputed per the locked formula set, the FY 2026–27 DSCR is 1.59 times on the Analyst Base Case — growth capped at 15%, operating margin held at the latest audited level and full provision made for the income tax the firm has never booked — against annual term debt service of Rs. 56.25 lakh. The recommendation does not depend on management’s 63.6% growth projection being achieved.</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The marginal rupee pays for itself. At the computed 49.7-day cash conversion cycle a rupee of limit turns 7.34 times a year, generating 29.4 paise of operating profit at the FY 2025–26 margin against 15.0 paise of interest at the proposed rate — coverage of approximately 1.96 times on the incremental exposure.</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Bureau and conduct records are clean and mutually corroborating. A company management rating of CMR-3 sits in the low risk band; partner scores of 870, 820, 777 and 775 all fall in the good-to-strong bands with none below 750; and the cash credit account shows no cheque return, no online return and no dishonour of any kind across sixteen months of statements.</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The customer base is genuinely diversified where repayment actually comes from. One hundred debtor accounts and roughly 5,400 collection transactions over sixteen months, with top-five concentration of 42%, seven-tenths of the ageing inside 30 days and the same dealer names recurring every month for sixteen consecutive months.</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Growth requires working capital and not capital expenditure. Derived utilisation of approximately 49% against stated capacity of 5 MWh per month means the FY 2026–27 revenue target needs about 80% of a single unit, so the projection conceals no unfunded capital expenditure requirement — and the facility funds the constraint that actually binds.</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Promoters have funded the business from within. Partners’ funds have grown from Rs. 28.42 lakh to Rs. 180.99 lakh in three years with no external equity and no dilution, including Rs. 26.75 lakh of net fresh contribution in FY 2025–26, and the largest partner has funded 51.9% of capital against a 25% profit entitlement.</w:t>
      </w:r>
    </w:p>
    <w:p>
      <w:pPr>
        <w:pStyle w:val="ListParagraph"/>
        <w:numPr>
          <w:ilvl w:val="0"/>
          <w:numId w:val="2"/>
        </w:numPr>
        <w:spacing w:after="40" w:before="40"/>
        <w:jc w:val="both"/>
      </w:pPr>
      <w:r>
        <w:rPr>
          <w:rFonts w:ascii="Arial" w:cs="Arial" w:eastAsia="Arial" w:hAnsi="Arial"/>
          <w:b w:val="false"/>
          <w:bCs w:val="false"/>
          <w:i w:val="false"/>
          <w:iCs w:val="false"/>
          <w:color w:val="000000"/>
          <w:sz w:val="18"/>
          <w:szCs w:val="18"/>
        </w:rPr>
        <w:t xml:space="preserve">The facility structure fits the risk. Tranches of 30 to 120 days repaid bullet against a 49.7-day cycle mean the exposure is self-liquidating and Evam can decline to revolve within one cycle — the primary protection against the high operating leverage identified in the stress testing, and the reason a thin-margin assembler is nonetheless a workable short-tenor credit.</w:t>
      </w:r>
    </w:p>
    <w:p>
      <w:pPr>
        <w:pStyle w:val="Heading2"/>
        <w:spacing w:after="80" w:before="160"/>
        <w:jc w:val="left"/>
      </w:pPr>
      <w:r>
        <w:rPr>
          <w:rFonts w:ascii="Arial" w:cs="Arial" w:eastAsia="Arial" w:hAnsi="Arial"/>
          <w:b/>
          <w:bCs/>
          <w:color w:val="2E75B6"/>
          <w:sz w:val="22"/>
          <w:szCs w:val="22"/>
        </w:rPr>
        <w:t xml:space="preserve">Conditions Precedent to First Disbursement</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Full disclosure of PINNACLE LITHIUM POWER PRIVATE LIMITED (CIN U46909TZ2023PTC029215): audited accounts since incorporation, goods and services tax returns, bank statements, and a statement certified by the statutory auditor of all transactions between that company and the firm. Disbursement is not to be released while the related-party position remains as declared.</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Full particulars of the Rs. 110.42 lakh of unsecured loans — lender, constitution, amount, rate, tenor, security and repayment schedule for each — together with confirmation that none is secured on assets falling within Evam’s charge.</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Stock ageing statement at 31-Mar-2026 and at the current date, plus satisfactory physical verification of inventory at all premises, confirming that no material part of the Rs. 461.76 lakh is held beyond 180 days or in chemistries and formats no longer sold.</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The current Bank of India sanction letter evidencing the Rs. 250 lakh cash credit limit, a written conduct reference, and reconciliation of the Rs. 49.6 lakh difference between the provisional bank overdraft and the cash credit statement balance at 31-Mar-2026.</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Evidence of product certification — ISO 9001:2015 certificate with number, body and expiry, and AIS-156 phase 2 or BIS certification for every electric vehicle pack currently sold — together with nil-dues certificates for goods and services tax, provident fund and employee state insurance.</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Independent valuation and encumbrance certificates on all immovable property declared in the guarantors’ net worth statements, and a revised net worth statement from Mr. Aravind Siddharth reflecting his share of the mortgage recorded against the property he values at Rs. 132.50 lakh.</w:t>
      </w:r>
    </w:p>
    <w:p>
      <w:pPr>
        <w:pStyle w:val="Heading2"/>
        <w:spacing w:after="80" w:before="160"/>
        <w:jc w:val="left"/>
      </w:pPr>
      <w:r>
        <w:rPr>
          <w:rFonts w:ascii="Arial" w:cs="Arial" w:eastAsia="Arial" w:hAnsi="Arial"/>
          <w:b/>
          <w:bCs/>
          <w:color w:val="2E75B6"/>
          <w:sz w:val="22"/>
          <w:szCs w:val="22"/>
        </w:rPr>
        <w:t xml:space="preserve">Conditions and Monitoring Points</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Order-linked drawdown with a single-name cap. Each drawdown to be supported by acknowledged purchase orders or invoices not older than 60 days, and no single customer to account for more than 25% of the outstanding facility at any time. Escalate to the sanctioning authority on any breach.</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Monitor inventory. Obtain stock and book debt statements monthly by the 7th; drawing power to be computed after a minimum 25% margin on stock and 40% on book debts. Escalate if inventory days exceed 75 for two consecutive quarters, or if stock aged beyond 180 days exceeds 10% of the total.</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Monitor receivable quality. Obtain a dated debtor ageing quarterly with buckets extended to 90 and 180 days plus. Escalate if receivables past 90 days exceed 15% of the book, or if the ageing total fails to reconcile to the ledger within 3%.</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Monitor revenue against projection. FY 2026–27 turnover is projected to grow 63.6% while this sanction is based on 15%. Escalate if the half-year run rate falls below 70% of the Analyst Base Case revenue of Rs. 3,542.79 lakh, and initiate a limit review if full-year turnover lands below Rs. 4,200 lakh.</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Cap partner remuneration and drawings. Annualised partner remuneration not to exceed 50% of profit before remuneration; escalate on breach. Partners not to withdraw capital during the currency of the facility without prior written consent.</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Monitor supplier credit and banking headroom. Escalate if creditor days exceed 45, if any cheque or electronic mandate is returned for insufficient funds in any account, or if Bank of India cash credit utilisation remains above 98% for a full month.</w:t>
      </w:r>
    </w:p>
    <w:p>
      <w:pPr>
        <w:pStyle w:val="ListParagraph"/>
        <w:numPr>
          <w:ilvl w:val="0"/>
          <w:numId w:val="3"/>
        </w:numPr>
        <w:spacing w:after="40" w:before="40"/>
        <w:jc w:val="both"/>
      </w:pPr>
      <w:r>
        <w:rPr>
          <w:rFonts w:ascii="Arial" w:cs="Arial" w:eastAsia="Arial" w:hAnsi="Arial"/>
          <w:b w:val="false"/>
          <w:bCs w:val="false"/>
          <w:i w:val="false"/>
          <w:iCs w:val="false"/>
          <w:color w:val="000000"/>
          <w:sz w:val="18"/>
          <w:szCs w:val="18"/>
        </w:rPr>
        <w:t xml:space="preserve">Restrict further indebtedness and related-party flows. No additional term or unsecured borrowing, and no sale, transfer, loan or advance to Pinnacle Lithium Power Private Limited, Pinnacle Power Systems or any other concern in which a partner or a partner’s relative is interested, without Evam’s prior written consent. No change in the constitution of the firm or in the partnership deed without prior consent.</w:t>
      </w:r>
    </w:p>
    <w:p>
      <w:pPr>
        <w:pStyle w:val="Heading2"/>
        <w:spacing w:after="80" w:before="160"/>
        <w:jc w:val="left"/>
      </w:pPr>
      <w:r>
        <w:rPr>
          <w:rFonts w:ascii="Arial" w:cs="Arial" w:eastAsia="Arial" w:hAnsi="Arial"/>
          <w:b/>
          <w:bCs/>
          <w:color w:val="2E75B6"/>
          <w:sz w:val="22"/>
          <w:szCs w:val="22"/>
        </w:rPr>
        <w:t xml:space="preserve">Compliance Certification</w:t>
      </w:r>
    </w:p>
    <w:p>
      <w:pPr>
        <w:spacing w:after="80" w:before="80"/>
        <w:jc w:val="both"/>
      </w:pPr>
      <w:r>
        <w:rPr>
          <w:rFonts w:ascii="Arial" w:cs="Arial" w:eastAsia="Arial" w:hAnsi="Arial"/>
          <w:b w:val="false"/>
          <w:bCs w:val="false"/>
          <w:i w:val="false"/>
          <w:iCs w:val="false"/>
          <w:color w:val="000000"/>
          <w:sz w:val="18"/>
          <w:szCs w:val="18"/>
        </w:rPr>
        <w:t xml:space="preserve">We certify that this appraisal has been prepared from the documents furnished by the borrower and from publicly available information accessed on 29-Jul-2026; that every ratio has been independently computed from primary records using Evam’s locked formula definitions and not taken from the borrower’s submission; that all material discrepancies between the borrower’s representations and the underlying evidence have been disclosed in this memorandum; that no figure has been estimated or assumed where source data was unavailable, such cells being marked as not provided; and that the recommendation is defensible on the Analyst Base Case and not only on management projections. The Evam Internal Risk Grading scorecard grade has not been computed or quoted, as the scorecard inputs and rubric were not provided in the deal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Prepared by</w:t>
            </w:r>
          </w:p>
        </w:tc>
        <w:tc>
          <w:tcPr>
            <w:tcW w:type="dxa" w:w="23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Reviewed by</w:t>
            </w:r>
          </w:p>
        </w:tc>
        <w:tc>
          <w:tcPr>
            <w:tcW w:type="dxa" w:w="23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Recommended by</w:t>
            </w:r>
          </w:p>
        </w:tc>
        <w:tc>
          <w:tcPr>
            <w:tcW w:type="dxa" w:w="234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Sanctioning Authority</w:t>
            </w:r>
          </w:p>
        </w:tc>
      </w:tr>
      <w:tr>
        <w:trPr>
          <w:tblHeader w:val="false"/>
        </w:trPr>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Senior Credit Analyst
Credit Risk Group</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Head — Credit Risk</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Chief Risk Officer</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Credit Committee</w:t>
            </w:r>
          </w:p>
        </w:tc>
      </w:tr>
      <w:tr>
        <w:trPr>
          <w:tblHeader w:val="false"/>
        </w:trPr>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Date: 29-Jul-2026</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Date:</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Date:</w:t>
            </w:r>
          </w:p>
        </w:tc>
        <w:tc>
          <w:tcPr>
            <w:tcW w:type="dxa" w:w="234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Date:</w:t>
            </w:r>
          </w:p>
        </w:tc>
      </w:tr>
      <w:tr>
        <w:trPr>
          <w:tblHeader w:val="false"/>
        </w:trPr>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Signature:</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Signature:</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Signature:</w:t>
            </w:r>
          </w:p>
        </w:tc>
        <w:tc>
          <w:tcPr>
            <w:tcW w:type="dxa" w:w="234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Signature:</w:t>
            </w:r>
          </w:p>
        </w:tc>
      </w:tr>
    </w:tbl>
    <w:p>
      <w:pPr>
        <w:pStyle w:val="Heading1"/>
        <w:pageBreakBefore/>
        <w:spacing w:after="120" w:before="160"/>
        <w:jc w:val="left"/>
      </w:pPr>
      <w:r>
        <w:rPr>
          <w:rFonts w:ascii="Arial" w:cs="Arial" w:eastAsia="Arial" w:hAnsi="Arial"/>
          <w:b/>
          <w:bCs/>
          <w:color w:val="1F3864"/>
          <w:sz w:val="26"/>
          <w:szCs w:val="26"/>
        </w:rPr>
        <w:t xml:space="preserve">APPENDIX: TERMS AND CONDITIONS</w:t>
      </w:r>
    </w:p>
    <w:p>
      <w:pPr>
        <w:pStyle w:val="Heading2"/>
        <w:spacing w:after="80" w:before="160"/>
        <w:jc w:val="left"/>
      </w:pPr>
      <w:r>
        <w:rPr>
          <w:rFonts w:ascii="Arial" w:cs="Arial" w:eastAsia="Arial" w:hAnsi="Arial"/>
          <w:b/>
          <w:bCs/>
          <w:color w:val="2E75B6"/>
          <w:sz w:val="22"/>
          <w:szCs w:val="22"/>
        </w:rPr>
        <w:t xml:space="preserve">Section A – Term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Head</w:t>
            </w:r>
          </w:p>
        </w:tc>
        <w:tc>
          <w:tcPr>
            <w:tcW w:type="dxa" w:w="67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Terms</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Lender</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Evam Finance Private Limited</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Borrower</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Pinnacle Lithium Power, a Registered Partnership Firm, PAN ABAFP0945L</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Promoters / Partners</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Mr. Gowrisankar Shivrane, Mr. Aravind Siddharth S, Mr. Pranav S Kumar, Mr. Siddhaarth A B — equal 25% partners</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Guarantors</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Mr. Gowrisankar Shivrane, Mr. Aravind Siddharth S, Mr. Pranav S Kumar, Mr. Siddhaarth A B — joint and several</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Facility name</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Working Capital Loan (WCL)</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Facility amount</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Up to Rs. 1,00,00,000 (Rupees One Crore only)</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Facility type</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Revolving, fund based</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Purpose / end use</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Working capital purposes of the firm. No utilisation to group entities, unsecured loans, investments or prohibited activities. End use strictly monitored and restricted to the sanctioned purpose.</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Availability period</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12 months from the date of sanction, to be renewed annually</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Drawdown modalities</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Each drawdown to have a tenor of 30 days to a maximum of 120 days from the respective date of disbursement</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Principal repayment</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Bullet repayment on the maturity date of each drawdown or tranche</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Interest rate</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Fixed 15.00% per annum</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Interest computation</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On the basis of 365 days per year</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Interest payment</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Monthly, on a specified day</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Processing fee</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2.0% of the sanctioned amount plus applicable taxes, payable upfront and non-refundable</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Documentation fee</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Rs. 25,000 plus goods and services tax, non-refundable</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Other charges</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Cheque bounce Rs. 1,000 per instance plus taxes; non-creation of security Rs. 1,000 per day plus taxes from the 31st day after due date until perfected; reschedulement 2.00% of the outstanding amount</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Prepayment</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Pre-closure charge of 4% of the sanctioned limit if the facility is closed before 12 months from sanction. Repayment of a disbursement tranche on its due date attracts no penalty. Commitment fee nil.</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Default / penal charges</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 per month on all outstanding amounts including interest in default, over and above the applicable interest rate, from the date of the event of default until all outstanding amounts are repaid in full</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Security — primary</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First-ranking pari passu charge by way of hypothecation over all present and future current assets and movable fixed assets of the Borrower, alongside Bank of India, excluding assets specifically charged to and financed by other lenders. Pari passu charge ceding letter from existing lenders to be procured and submitted within 90 days from the date of first disbursement.</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Security — cash collateral</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10.0% of the sanctioned facility amount to be maintained as an interest-free deposit with Evam for the duration of the facility</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Security — guarantees</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Personal guarantees of all four partners, joint and several</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Security — instruments</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Two undated cheques from the Borrower and from each Personal Guarantor; escrow or digital escrow account where applicable; NACH mandate or ECS registration on the designated repayment bank account in favour of Evam Finance</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Security cover</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Minimum 1.0 times security cover to be maintained throughout the tenor. Any shortfall to be cured within 30 days of notification by Evam.</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Insurance</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Borrower to insure the hypothecated and lien-marked assets in favour of the Lender against such risks and contingencies as the Lender deems fit, endorsed in favour of the Lender within 30 days of first disbursement</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Conditions precedent</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Completion of know-your-customer and satisfactory conclusion of due diligence; execution of loan documentation; receipt of all authorisations and approvals; security creation undertakings; escrow or collection account set-up; NACH and ECS mandates; delivery of all consents, waivers and approvals required from existing investors and lenders. In addition, the six condition-precedent items set out in Section 11 of this memorandum.</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Conditions subsequent</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Filing of charge and perfection of security with the relevant registrar within the timelines set out in the Facility Agreement; CERSAI registration; and other post-disbursement compliances as required by Evam</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Financial covenants</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To be decided upon final sanction. Recommended for consideration: total outside liabilities to tangible net worth not to exceed 4.50 times; current ratio not below 1.05 times; DSCR not below 1.35 times on an audited basis; and inventory days not to exceed 75.</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Information covenants</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Quarterly statements including operational and financial statements within 30 days of quarter end; annual audited financial statements within 180 days of year end; monthly stock and book debt statements by the 7th; quarterly dated debtor ageing. Evam shall have the right to stipulate such other information covenants as it may deem fit.</w:t>
            </w:r>
          </w:p>
        </w:tc>
      </w:tr>
      <w:tr>
        <w:trPr>
          <w:tblHeader w:val="false"/>
        </w:trPr>
        <w:tc>
          <w:tcPr>
            <w:tcW w:type="dxa" w:w="2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Other key conditions</w:t>
            </w:r>
          </w:p>
        </w:tc>
        <w:tc>
          <w:tcPr>
            <w:tcW w:type="dxa" w:w="67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Undertaking that no additional finance will be availed on the same assets being financed by Evam. The Lender may call the entire outstanding principal and interest accrued to date at any time during the loan tenor on 30 days’ written notice. No change in the constitution of the firm or in the partnership deed, and no withdrawal of partner capital, without prior written consent.</w:t>
            </w:r>
          </w:p>
        </w:tc>
      </w:tr>
      <w:tr>
        <w:trPr>
          <w:tblHeader w:val="false"/>
        </w:trPr>
        <w:tc>
          <w:tcPr>
            <w:tcW w:type="dxa" w:w="2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Governing law and jurisdiction</w:t>
            </w:r>
          </w:p>
        </w:tc>
        <w:tc>
          <w:tcPr>
            <w:tcW w:type="dxa" w:w="67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Laws of India; courts at the place specified in the Facility Agreement</w:t>
            </w:r>
          </w:p>
        </w:tc>
      </w:tr>
    </w:tbl>
    <w:p>
      <w:pPr>
        <w:pStyle w:val="Heading1"/>
        <w:pageBreakBefore/>
        <w:spacing w:after="120" w:before="160"/>
        <w:jc w:val="left"/>
      </w:pPr>
      <w:r>
        <w:rPr>
          <w:rFonts w:ascii="Arial" w:cs="Arial" w:eastAsia="Arial" w:hAnsi="Arial"/>
          <w:b/>
          <w:bCs/>
          <w:color w:val="1F3864"/>
          <w:sz w:val="26"/>
          <w:szCs w:val="26"/>
        </w:rPr>
        <w:t xml:space="preserve">ANNEXURE I: BORROWER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Parameter</w:t>
            </w:r>
          </w:p>
        </w:tc>
        <w:tc>
          <w:tcPr>
            <w:tcW w:type="dxa" w:w="64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Details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Name</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Pinnacle Lithium Power</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Short name</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PLP / Pulze Batteries (brand)</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Group</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 group structure disclosed by the borrower. Public records identify PINNACLE LITHIUM POWER PRIVATE LIMITED (CIN U46909TZ2023PTC029215) with the same four persons as directors, and Pinnacle Power Systems (GST 33AAXFP9452C1ZV) operated by a partner’s father — neither disclosed. See Sections 2 and 5.</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Constitution</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Registered Partnership Firm, deed dated 08-Mar-2021, four partners with equal 25% shares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Branch</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To be assigned</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Relationship Manager</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To be assigned</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Registered office</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675/4A1 Part, Opp. MG Car Showroom, Avinashi Main Road, Chinniyampalayam, Coimbatore 641062, Tamil Nadu, India</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Communication address</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As above. Telephone 9894425097 / 9585429393; logistics 8925979183</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Email</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sales@pulzebatteries.com; pinnaclelithiumpowergst@gmail.com</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Website</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www.pulzebatteries.com</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PAN</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ABAFP0945L</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GSTIN</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33ABAFP0945L1Z9</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Year of incorporation</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2021 — deed executed and business commenced 08-Mar-2021</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Industry</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Electrical equipment — energy storage</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Sector</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Lithium-ion battery pack design and assembly</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Sub-sector</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Packs for material handling equipment, electric two and three wheelers, stationary energy storage, solar, robotics and drones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Line of activity</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Purchase of NMC and LFP cells and conversion into finished application-specific battery packs with in-house battery management systems, thermal management and IP67 enclosures, sold under the Pulze brand through a dealer network and by direct industrial supply. ITR business code 04084 — manufacture of motor vehicles.</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MSME status</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Udyam registered — MSME certificate 2025 on file</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Statutory auditor</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Senthil Kumar and Sundararajan, Chartered Accountants, Tirupur; firm registration number 011750S; signing partner R. Senthilkumar, membership number 217085</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Banking arrangement</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Sole banking with Bank of India, Lakkampatti Branch, for working capital. Current accounts with Bank of Baroda (Kalapatti) and Kotak Mahindra Bank.</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IRAC status</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Standard. No irregularity reported in any account; Bank of India cash credit records no cheque return across sixteen months of statements, though it stood overdrawn by Rs. 2.11 lakh against a Rs. 250 lakh limit on 21-Jul-2026.</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Dealings with Evam</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New relationship — first facility</w:t>
            </w:r>
          </w:p>
        </w:tc>
      </w:tr>
    </w:tbl>
    <w:p>
      <w:pPr>
        <w:pStyle w:val="Heading2"/>
        <w:spacing w:after="80" w:before="160"/>
        <w:jc w:val="left"/>
      </w:pPr>
      <w:r>
        <w:rPr>
          <w:rFonts w:ascii="Arial" w:cs="Arial" w:eastAsia="Arial" w:hAnsi="Arial"/>
          <w:b/>
          <w:bCs/>
          <w:color w:val="2E75B6"/>
          <w:sz w:val="22"/>
          <w:szCs w:val="22"/>
        </w:rPr>
        <w:t xml:space="preserve">Shareholding / Profit Sharing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600"/>
        <w:gridCol w:w="1630"/>
        <w:gridCol w:w="1630"/>
      </w:tblGrid>
      <w:tr>
        <w:trPr>
          <w:tblHeader/>
        </w:trPr>
        <w:tc>
          <w:tcPr>
            <w:tcW w:type="dxa" w:w="2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Partner</w:t>
            </w:r>
          </w:p>
        </w:tc>
        <w:tc>
          <w:tcPr>
            <w:tcW w:type="dxa" w:w="1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Profit share</w:t>
            </w:r>
          </w:p>
        </w:tc>
        <w:tc>
          <w:tcPr>
            <w:tcW w:type="dxa" w:w="1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Capital 31-Mar-26</w:t>
            </w:r>
          </w:p>
        </w:tc>
        <w:tc>
          <w:tcPr>
            <w:tcW w:type="dxa" w:w="163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 of capital</w:t>
            </w:r>
          </w:p>
        </w:tc>
        <w:tc>
          <w:tcPr>
            <w:tcW w:type="dxa" w:w="163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Beneficial owner</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Gowrisankar Shivrane</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54.1</w:t>
            </w:r>
          </w:p>
        </w:tc>
        <w:tc>
          <w:tcPr>
            <w:tcW w:type="dxa" w:w="163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51.9%</w:t>
            </w:r>
          </w:p>
        </w:tc>
        <w:tc>
          <w:tcPr>
            <w:tcW w:type="dxa" w:w="163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Yes</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 Aravind Siddharth</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22.7</w:t>
            </w:r>
          </w:p>
        </w:tc>
        <w:tc>
          <w:tcPr>
            <w:tcW w:type="dxa" w:w="163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21.8%</w:t>
            </w:r>
          </w:p>
        </w:tc>
        <w:tc>
          <w:tcPr>
            <w:tcW w:type="dxa" w:w="163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Yes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Pranav S Kumar</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19.4</w:t>
            </w:r>
          </w:p>
        </w:tc>
        <w:tc>
          <w:tcPr>
            <w:tcW w:type="dxa" w:w="163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18.7%</w:t>
            </w:r>
          </w:p>
        </w:tc>
        <w:tc>
          <w:tcPr>
            <w:tcW w:type="dxa" w:w="163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Yes</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Siddhaarth A B</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7.9</w:t>
            </w:r>
          </w:p>
        </w:tc>
        <w:tc>
          <w:tcPr>
            <w:tcW w:type="dxa" w:w="163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7.6%</w:t>
            </w:r>
          </w:p>
        </w:tc>
        <w:tc>
          <w:tcPr>
            <w:tcW w:type="dxa" w:w="163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Yes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104.1</w:t>
            </w:r>
          </w:p>
        </w:tc>
        <w:tc>
          <w:tcPr>
            <w:tcW w:type="dxa" w:w="163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c>
          <w:tcPr>
            <w:tcW w:type="dxa" w:w="163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bl>
    <w:p>
      <w:pPr>
        <w:spacing w:after="80" w:before="80"/>
        <w:jc w:val="both"/>
      </w:pPr>
      <w:r>
        <w:rPr>
          <w:rFonts w:ascii="Arial" w:cs="Arial" w:eastAsia="Arial" w:hAnsi="Arial"/>
          <w:b w:val="false"/>
          <w:bCs w:val="false"/>
          <w:i/>
          <w:iCs/>
          <w:color w:val="000000"/>
          <w:sz w:val="18"/>
          <w:szCs w:val="18"/>
        </w:rPr>
        <w:t xml:space="preserve">Rs. lakh. Add current year profit of Rs. 76.87 lakh to arrive at total partners’ funds of Rs. 180.99 lakh at 31-Mar-2026. Initial capital was Rs. 1 lakh per partner under clause 4 of the deed; interest on capital accrues at 12% per annum under clause 5.</w:t>
      </w:r>
    </w:p>
    <w:p>
      <w:pPr>
        <w:pStyle w:val="Heading2"/>
        <w:spacing w:after="80" w:before="160"/>
        <w:jc w:val="left"/>
      </w:pPr>
      <w:r>
        <w:rPr>
          <w:rFonts w:ascii="Arial" w:cs="Arial" w:eastAsia="Arial" w:hAnsi="Arial"/>
          <w:b/>
          <w:bCs/>
          <w:color w:val="2E75B6"/>
          <w:sz w:val="22"/>
          <w:szCs w:val="22"/>
        </w:rPr>
        <w:t xml:space="preserve">Promoter Breakup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80"/>
        <w:gridCol w:w="1880"/>
      </w:tblGrid>
      <w:tr>
        <w:trPr>
          <w:tblHeader/>
        </w:trPr>
        <w:tc>
          <w:tcPr>
            <w:tcW w:type="dxa" w:w="2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Partner</w:t>
            </w:r>
          </w:p>
        </w:tc>
        <w:tc>
          <w:tcPr>
            <w:tcW w:type="dxa" w:w="1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Age</w:t>
            </w:r>
          </w:p>
        </w:tc>
        <w:tc>
          <w:tcPr>
            <w:tcW w:type="dxa" w:w="1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PAN</w:t>
            </w:r>
          </w:p>
        </w:tc>
        <w:tc>
          <w:tcPr>
            <w:tcW w:type="dxa" w:w="18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Declared net worth</w:t>
            </w:r>
          </w:p>
        </w:tc>
        <w:tc>
          <w:tcPr>
            <w:tcW w:type="dxa" w:w="18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CIBIL (Grade)</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Gowrisankar Shivrane</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29</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HHWPS8026Q</w:t>
            </w:r>
          </w:p>
        </w:tc>
        <w:tc>
          <w:tcPr>
            <w:tcW w:type="dxa" w:w="1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149.9</w:t>
            </w:r>
          </w:p>
        </w:tc>
        <w:tc>
          <w:tcPr>
            <w:tcW w:type="dxa" w:w="1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870 — Strong</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 Aravind Siddharth</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27</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CMXPA2679C</w:t>
            </w:r>
          </w:p>
        </w:tc>
        <w:tc>
          <w:tcPr>
            <w:tcW w:type="dxa" w:w="1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137.5</w:t>
            </w:r>
          </w:p>
        </w:tc>
        <w:tc>
          <w:tcPr>
            <w:tcW w:type="dxa" w:w="1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777 — Good</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Siddhaarth A B</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KWDPS2099A</w:t>
            </w:r>
          </w:p>
        </w:tc>
        <w:tc>
          <w:tcPr>
            <w:tcW w:type="dxa" w:w="1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60.5</w:t>
            </w:r>
          </w:p>
        </w:tc>
        <w:tc>
          <w:tcPr>
            <w:tcW w:type="dxa" w:w="1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775 — Good</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Mr. Pranav S Kumar</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FOAPP7375J</w:t>
            </w:r>
          </w:p>
        </w:tc>
        <w:tc>
          <w:tcPr>
            <w:tcW w:type="dxa" w:w="1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60.0</w:t>
            </w:r>
          </w:p>
        </w:tc>
        <w:tc>
          <w:tcPr>
            <w:tcW w:type="dxa" w:w="18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820 — Strong</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Aggregate</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407.9</w:t>
            </w:r>
          </w:p>
        </w:tc>
        <w:tc>
          <w:tcPr>
            <w:tcW w:type="dxa" w:w="18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r>
    </w:tbl>
    <w:p>
      <w:pPr>
        <w:spacing w:after="80" w:before="80"/>
        <w:jc w:val="both"/>
      </w:pPr>
      <w:r>
        <w:rPr>
          <w:rFonts w:ascii="Arial" w:cs="Arial" w:eastAsia="Arial" w:hAnsi="Arial"/>
          <w:b w:val="false"/>
          <w:bCs w:val="false"/>
          <w:i/>
          <w:iCs/>
          <w:color w:val="000000"/>
          <w:sz w:val="18"/>
          <w:szCs w:val="18"/>
        </w:rPr>
        <w:t xml:space="preserve">Rs. lakh, self-declared as at 20-Jul-2026 and unaudited. Approximately Rs. 168 lakh of the aggregate is jewellery and vehicles, every immovable property declared is recorded as mortgaged, and Mr. Aravind Siddharth’s statement appears to omit his share of a mortgage of the order of Rs. 150 lakh on the property he values at Rs. 132.50 lakh. Realistic short-notice realisable support is assessed at Rs. 60–80 lakh. Independent valuation and encumbrance certificates are a condition precedent.</w:t>
      </w:r>
    </w:p>
    <w:p>
      <w:pPr>
        <w:pStyle w:val="Heading2"/>
        <w:spacing w:after="80" w:before="160"/>
        <w:jc w:val="left"/>
      </w:pPr>
      <w:r>
        <w:rPr>
          <w:rFonts w:ascii="Arial" w:cs="Arial" w:eastAsia="Arial" w:hAnsi="Arial"/>
          <w:b/>
          <w:bCs/>
          <w:color w:val="2E75B6"/>
          <w:sz w:val="22"/>
          <w:szCs w:val="22"/>
        </w:rPr>
        <w:t xml:space="preserve">Share Pledge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Parameter</w:t>
            </w:r>
          </w:p>
        </w:tc>
        <w:tc>
          <w:tcPr>
            <w:tcW w:type="dxa" w:w="64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Status</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Share pledge</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applicable. The borrower is a partnership firm; no shares exist and no pledge is possible or required. Partner capital is instead protected by the negative covenant against withdrawal of capital and against any change in the constitution or the deed without Evam’s prior written consent.</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Holding company</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 per the CMA declaration</w:t>
            </w:r>
          </w:p>
        </w:tc>
      </w:tr>
      <w:tr>
        <w:trPr>
          <w:tblHeader w:val="false"/>
        </w:trPr>
        <w:tc>
          <w:tcPr>
            <w:tcW w:type="dxa" w:w="2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Subsidiaries</w:t>
            </w:r>
          </w:p>
        </w:tc>
        <w:tc>
          <w:tcPr>
            <w:tcW w:type="dxa" w:w="64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 per the CMA declaration</w:t>
            </w:r>
          </w:p>
        </w:tc>
      </w:tr>
      <w:tr>
        <w:trPr>
          <w:tblHeader w:val="false"/>
        </w:trPr>
        <w:tc>
          <w:tcPr>
            <w:tcW w:type="dxa" w:w="2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Joint ventures</w:t>
            </w:r>
          </w:p>
        </w:tc>
        <w:tc>
          <w:tcPr>
            <w:tcW w:type="dxa" w:w="64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 per the CMA declaration. Note that public sources record a claimed joint venture with Helios, Chennai, and Helios LED Lightronics Private Limited appears as a trade creditor in FY 2023–24 and FY 2024–25. To be clarified.</w:t>
            </w:r>
          </w:p>
        </w:tc>
      </w:tr>
    </w:tbl>
    <w:p>
      <w:pPr>
        <w:pStyle w:val="Heading1"/>
        <w:pageBreakBefore/>
        <w:spacing w:after="120" w:before="160"/>
        <w:jc w:val="left"/>
      </w:pPr>
      <w:r>
        <w:rPr>
          <w:rFonts w:ascii="Arial" w:cs="Arial" w:eastAsia="Arial" w:hAnsi="Arial"/>
          <w:b/>
          <w:bCs/>
          <w:color w:val="1F3864"/>
          <w:sz w:val="26"/>
          <w:szCs w:val="26"/>
        </w:rPr>
        <w:t xml:space="preserve">ANNEXURE II: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Check</w:t>
            </w:r>
          </w:p>
        </w:tc>
        <w:tc>
          <w:tcPr>
            <w:tcW w:type="dxa" w:w="61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Status</w:t>
            </w:r>
          </w:p>
        </w:tc>
      </w:tr>
      <w:tr>
        <w:trPr>
          <w:tblHeader w:val="false"/>
        </w:trPr>
        <w:tc>
          <w:tcPr>
            <w:tcW w:type="dxa" w:w="3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RBI defaulters list / wilful defaulters</w:t>
            </w:r>
          </w:p>
        </w:tc>
        <w:tc>
          <w:tcPr>
            <w:tcW w:type="dxa" w:w="6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Verified via ScoreMe Legal Report dated 27-Jul-2026 — NIL entries in the defaulters module for the firm. Not verified for the four partners individually — pending. To be independently re-verified against the RBI and CIBIL Suit-Filed and Wilful Defaulter lists at sanction.</w:t>
            </w:r>
          </w:p>
        </w:tc>
      </w:tr>
      <w:tr>
        <w:trPr>
          <w:tblHeader w:val="false"/>
        </w:trPr>
        <w:tc>
          <w:tcPr>
            <w:tcW w:type="dxa" w:w="3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Litigation — pending suits</w:t>
            </w:r>
          </w:p>
        </w:tc>
        <w:tc>
          <w:tcPr>
            <w:tcW w:type="dxa" w:w="61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Verified via ScoreMe Legal Report dated 27-Jul-2026 — NIL cases against the firm across Supreme Court, High Court, eCourts, Consumer Courts, Tribunals, IBC, MCA and FIR databases in all years. Not verified for the four partners individually — pending.</w:t>
            </w:r>
          </w:p>
        </w:tc>
      </w:tr>
      <w:tr>
        <w:trPr>
          <w:tblHeader w:val="false"/>
        </w:trPr>
        <w:tc>
          <w:tcPr>
            <w:tcW w:type="dxa" w:w="3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CDR / BIFR / IBC reference</w:t>
            </w:r>
          </w:p>
        </w:tc>
        <w:tc>
          <w:tcPr>
            <w:tcW w:type="dxa" w:w="6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Verified via ScoreMe Legal Report dated 27-Jul-2026 — NIL in the IBC module. No corporate debt restructuring or BIFR reference traceable.</w:t>
            </w:r>
          </w:p>
        </w:tc>
      </w:tr>
      <w:tr>
        <w:trPr>
          <w:tblHeader w:val="false"/>
        </w:trPr>
        <w:tc>
          <w:tcPr>
            <w:tcW w:type="dxa" w:w="3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Common directors with Evam</w:t>
            </w:r>
          </w:p>
        </w:tc>
        <w:tc>
          <w:tcPr>
            <w:tcW w:type="dxa" w:w="61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verified — pending. Declaration to be obtained from all four partners. Note that all four are directors of PINNACLE LITHIUM POWER PRIVATE LIMITED (CIN U46909TZ2023PTC029215), a fact established from public records and not disclosed by the borrower; the full list of their directorships and partnerships must be obtained by written declaration.</w:t>
            </w:r>
          </w:p>
        </w:tc>
      </w:tr>
      <w:tr>
        <w:trPr>
          <w:tblHeader w:val="false"/>
        </w:trPr>
        <w:tc>
          <w:tcPr>
            <w:tcW w:type="dxa" w:w="3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Loans to directors of other banks or financial institutions</w:t>
            </w:r>
          </w:p>
        </w:tc>
        <w:tc>
          <w:tcPr>
            <w:tcW w:type="dxa" w:w="6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verified — pending. Declaration to be obtained confirming that no partner is a director, or a relative of a director, of any bank or financial institution.</w:t>
            </w:r>
          </w:p>
        </w:tc>
      </w:tr>
      <w:tr>
        <w:trPr>
          <w:tblHeader w:val="false"/>
        </w:trPr>
        <w:tc>
          <w:tcPr>
            <w:tcW w:type="dxa" w:w="3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Relationship with senior officers of Evam</w:t>
            </w:r>
          </w:p>
        </w:tc>
        <w:tc>
          <w:tcPr>
            <w:tcW w:type="dxa" w:w="61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verified — pending. Declaration to be obtained from all four partners.</w:t>
            </w:r>
          </w:p>
        </w:tc>
      </w:tr>
      <w:tr>
        <w:trPr>
          <w:tblHeader w:val="false"/>
        </w:trPr>
        <w:tc>
          <w:tcPr>
            <w:tcW w:type="dxa" w:w="3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Substantial interest / guarantor in other borrowing concerns</w:t>
            </w:r>
          </w:p>
        </w:tc>
        <w:tc>
          <w:tcPr>
            <w:tcW w:type="dxa" w:w="6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verified — pending. Partial information available: the partners hold a substantial interest in Pinnacle Lithium Power Private Limited, and a partner’s father operates Pinnacle Power Systems. Guarantee schedules in the net worth statements were submitted blank, so guarantees already given to Bank of India, SIDBI, Tata Capital and Mahindra &amp; Mahindra Financial Services are not documented. A complete declaration of interests and guarantees is required before sanction.</w:t>
            </w:r>
          </w:p>
        </w:tc>
      </w:tr>
      <w:tr>
        <w:trPr>
          <w:tblHeader w:val="false"/>
        </w:trPr>
        <w:tc>
          <w:tcPr>
            <w:tcW w:type="dxa" w:w="3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Probe / commercial bureau report</w:t>
            </w:r>
          </w:p>
        </w:tc>
        <w:tc>
          <w:tcPr>
            <w:tcW w:type="dxa" w:w="61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obtained — pending. A commercial bureau report on the firm and a consumer bureau report on each partner should be pulled afresh at sanction. CMR-3 and the four individual scores were provided in the deal instructions and are relied on for grading purposes.</w:t>
            </w:r>
          </w:p>
        </w:tc>
      </w:tr>
      <w:tr>
        <w:trPr>
          <w:tblHeader w:val="false"/>
        </w:trPr>
        <w:tc>
          <w:tcPr>
            <w:tcW w:type="dxa" w:w="3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CA / UDIN verification</w:t>
            </w:r>
          </w:p>
        </w:tc>
        <w:tc>
          <w:tcPr>
            <w:tcW w:type="dxa" w:w="6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Partially verified. UDINs are on record for all three audited years: 23217085BGSD005472 (FY 2022–23), 24217085BKHCLG5236 (FY 2023–24) and 25217085BMMNAM4185 (FY 2024–25), signed by R. Senthilkumar, membership number 217085, of Senthil Kumar and Sundararajan, firm registration number 011750S. Independent validation on the ICAI UDIN portal is pending. The FY 2025–26 statements are Tally-generated provisionals and carry no auditor certification.</w:t>
            </w:r>
          </w:p>
        </w:tc>
      </w:tr>
      <w:tr>
        <w:trPr>
          <w:tblHeader w:val="false"/>
        </w:trPr>
        <w:tc>
          <w:tcPr>
            <w:tcW w:type="dxa" w:w="3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GST compliance</w:t>
            </w:r>
          </w:p>
        </w:tc>
        <w:tc>
          <w:tcPr>
            <w:tcW w:type="dxa" w:w="61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Verified via ITR-5 for two assessment years — outward supplies declared under GSTIN 33ABAFP0945L1Z9 agree with audited sales to the rupee. Nil-dues certificate not obtained; Rs. 10.00 lakh of GST payable was outstanding at 31-Mar-2025 and an ITC reversal and DRC-03 entries appear in FY 2025–26. Nil-dues certificate is a condition precedent.</w:t>
            </w:r>
          </w:p>
        </w:tc>
      </w:tr>
      <w:tr>
        <w:trPr>
          <w:tblHeader w:val="false"/>
        </w:trPr>
        <w:tc>
          <w:tcPr>
            <w:tcW w:type="dxa" w:w="3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Provident fund and ESI compliance</w:t>
            </w:r>
          </w:p>
        </w:tc>
        <w:tc>
          <w:tcPr>
            <w:tcW w:type="dxa" w:w="6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verified — pending, and adverse indications on record. Tax computations disclose disallowances for late remittance in FY 2022–23, FY 2023–24 and FY 2024–25. Latest electronic challan-cum-return and nil-dues certificates are a condition precedent.</w:t>
            </w:r>
          </w:p>
        </w:tc>
      </w:tr>
      <w:tr>
        <w:trPr>
          <w:tblHeader w:val="false"/>
        </w:trPr>
        <w:tc>
          <w:tcPr>
            <w:tcW w:type="dxa" w:w="3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KYC — firm and partners</w:t>
            </w:r>
          </w:p>
        </w:tc>
        <w:tc>
          <w:tcPr>
            <w:tcW w:type="dxa" w:w="61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Verified. Firm PAN on file; PAN and Aadhaar on file for each of the four partners; Registrar of Firms registration certificate, GST registration certificate and Udyam MSME certificate on file.</w:t>
            </w:r>
          </w:p>
        </w:tc>
      </w:tr>
      <w:tr>
        <w:trPr>
          <w:tblHeader w:val="false"/>
        </w:trPr>
        <w:tc>
          <w:tcPr>
            <w:tcW w:type="dxa" w:w="3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Charge search / existing encumbrances</w:t>
            </w:r>
          </w:p>
        </w:tc>
        <w:tc>
          <w:tcPr>
            <w:tcW w:type="dxa" w:w="6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verified — pending. As a partnership firm there is no ROC charge registry, so a CERSAI search is the only systematic check available and must be carried out before sanction to identify existing charges over current assets, particularly given the undisclosed Rs. 110.42 lakh of unsecured borrowing.</w:t>
            </w:r>
          </w:p>
        </w:tc>
      </w:tr>
      <w:tr>
        <w:trPr>
          <w:tblHeader w:val="false"/>
        </w:trPr>
        <w:tc>
          <w:tcPr>
            <w:tcW w:type="dxa" w:w="32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Property title and encumbrance — guarantors</w:t>
            </w:r>
          </w:p>
        </w:tc>
        <w:tc>
          <w:tcPr>
            <w:tcW w:type="dxa" w:w="61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verified — pending. Independent valuation and encumbrance certificates on all immovable property declared in the net worth statements are a condition precedent.</w:t>
            </w:r>
          </w:p>
        </w:tc>
      </w:tr>
      <w:tr>
        <w:trPr>
          <w:tblHeader w:val="false"/>
        </w:trPr>
        <w:tc>
          <w:tcPr>
            <w:tcW w:type="dxa" w:w="3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End-use monitoring mechanism</w:t>
            </w:r>
          </w:p>
        </w:tc>
        <w:tc>
          <w:tcPr>
            <w:tcW w:type="dxa" w:w="61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established — pending. Order-linked drawdown, monthly stock and book debt statements and quarterly dated debtor ageing are stipulated in Section 11 and must be operationalised before first disbursement.</w:t>
            </w:r>
          </w:p>
        </w:tc>
      </w:tr>
    </w:tbl>
    <w:p>
      <w:pPr>
        <w:pStyle w:val="Heading1"/>
        <w:pageBreakBefore/>
        <w:spacing w:after="120" w:before="160"/>
        <w:jc w:val="left"/>
      </w:pPr>
      <w:r>
        <w:rPr>
          <w:rFonts w:ascii="Arial" w:cs="Arial" w:eastAsia="Arial" w:hAnsi="Arial"/>
          <w:b/>
          <w:bCs/>
          <w:color w:val="1F3864"/>
          <w:sz w:val="26"/>
          <w:szCs w:val="26"/>
        </w:rPr>
        <w:t xml:space="preserve">ANNEXURE III: DEBT PROFILE</w:t>
      </w:r>
    </w:p>
    <w:p>
      <w:pPr>
        <w:pStyle w:val="Heading2"/>
        <w:spacing w:after="80" w:before="160"/>
        <w:jc w:val="left"/>
      </w:pPr>
      <w:r>
        <w:rPr>
          <w:rFonts w:ascii="Arial" w:cs="Arial" w:eastAsia="Arial" w:hAnsi="Arial"/>
          <w:b/>
          <w:bCs/>
          <w:color w:val="2E75B6"/>
          <w:sz w:val="22"/>
          <w:szCs w:val="22"/>
        </w:rPr>
        <w:t xml:space="preserve">Existing Term Borrowings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300"/>
        <w:gridCol w:w="1300"/>
        <w:gridCol w:w="1300"/>
        <w:gridCol w:w="1860"/>
      </w:tblGrid>
      <w:tr>
        <w:trPr>
          <w:tblHeader/>
        </w:trPr>
        <w:tc>
          <w:tcPr>
            <w:tcW w:type="dxa" w:w="19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Bank / Lender</w:t>
            </w:r>
          </w:p>
        </w:tc>
        <w:tc>
          <w:tcPr>
            <w:tcW w:type="dxa" w:w="17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Nature</w:t>
            </w:r>
          </w:p>
        </w:tc>
        <w:tc>
          <w:tcPr>
            <w:tcW w:type="dxa" w:w="13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Limit</w:t>
            </w:r>
          </w:p>
        </w:tc>
        <w:tc>
          <w:tcPr>
            <w:tcW w:type="dxa" w:w="13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O/s</w:t>
            </w:r>
          </w:p>
        </w:tc>
        <w:tc>
          <w:tcPr>
            <w:tcW w:type="dxa" w:w="13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Undrawn</w:t>
            </w:r>
          </w:p>
        </w:tc>
        <w:tc>
          <w:tcPr>
            <w:tcW w:type="dxa" w:w="18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Security</w:t>
            </w:r>
          </w:p>
        </w:tc>
      </w:tr>
      <w:tr>
        <w:trPr>
          <w:tblHeader w:val="false"/>
        </w:trPr>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Bank of India</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Machinery term loan</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20.0</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10.4</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8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Hypothecation of three machines; CGTMSE cover per sanction letter. Debt profile states "Unsecured" — inconsistent.</w:t>
            </w:r>
          </w:p>
        </w:tc>
      </w:tr>
      <w:tr>
        <w:trPr>
          <w:tblHeader w:val="false"/>
        </w:trPr>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Bank of India</w:t>
            </w:r>
          </w:p>
        </w:tc>
        <w:tc>
          <w:tcPr>
            <w:tcW w:type="dxa" w:w="1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Machinery term loan</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33.8</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19.4</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8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LIC policy</w:t>
            </w:r>
          </w:p>
        </w:tc>
      </w:tr>
      <w:tr>
        <w:trPr>
          <w:tblHeader w:val="false"/>
        </w:trPr>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Bank of India</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EGCLS</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44.0</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44.0</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8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Unsecured; disbursement credited 02-Jun-2026</w:t>
            </w:r>
          </w:p>
        </w:tc>
      </w:tr>
      <w:tr>
        <w:trPr>
          <w:tblHeader w:val="false"/>
        </w:trPr>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SIDBI</w:t>
            </w:r>
          </w:p>
        </w:tc>
        <w:tc>
          <w:tcPr>
            <w:tcW w:type="dxa" w:w="1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Machinery term loan</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88.5</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88.5</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8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CGTMSE cover</w:t>
            </w:r>
          </w:p>
        </w:tc>
      </w:tr>
      <w:tr>
        <w:trPr>
          <w:tblHeader w:val="false"/>
        </w:trPr>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Tata Capital</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Business loan</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30.5</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28.8</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8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Unsecured; 18.00% nominal, APR 20.3%</w:t>
            </w:r>
          </w:p>
        </w:tc>
      </w:tr>
      <w:tr>
        <w:trPr>
          <w:tblHeader w:val="false"/>
        </w:trPr>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M&amp;M Financial Services</w:t>
            </w:r>
          </w:p>
        </w:tc>
        <w:tc>
          <w:tcPr>
            <w:tcW w:type="dxa" w:w="1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Vehicle loan</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8.9</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5.5</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8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Hypothecation of vehicle</w:t>
            </w:r>
          </w:p>
        </w:tc>
      </w:tr>
      <w:tr>
        <w:trPr>
          <w:tblHeader w:val="false"/>
        </w:trPr>
        <w:tc>
          <w:tcPr>
            <w:tcW w:type="dxa" w:w="19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M&amp;M Financial Services</w:t>
            </w:r>
          </w:p>
        </w:tc>
        <w:tc>
          <w:tcPr>
            <w:tcW w:type="dxa" w:w="17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Vehicle loan</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8.8</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9.6</w:t>
            </w:r>
          </w:p>
        </w:tc>
        <w:tc>
          <w:tcPr>
            <w:tcW w:type="dxa" w:w="13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8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Hypothecation of vehicle; outstanding exceeds sanction — see note</w:t>
            </w:r>
          </w:p>
        </w:tc>
      </w:tr>
      <w:tr>
        <w:trPr>
          <w:tblHeader w:val="false"/>
        </w:trPr>
        <w:tc>
          <w:tcPr>
            <w:tcW w:type="dxa" w:w="19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w:t>
            </w:r>
          </w:p>
        </w:tc>
        <w:tc>
          <w:tcPr>
            <w:tcW w:type="dxa" w:w="17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234.5</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206.2</w:t>
            </w:r>
          </w:p>
        </w:tc>
        <w:tc>
          <w:tcPr>
            <w:tcW w:type="dxa" w:w="13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8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Blended cost 10.93%</w:t>
            </w:r>
          </w:p>
        </w:tc>
      </w:tr>
    </w:tbl>
    <w:p>
      <w:pPr>
        <w:spacing w:after="80" w:before="80"/>
        <w:jc w:val="both"/>
      </w:pPr>
      <w:r>
        <w:rPr>
          <w:rFonts w:ascii="Arial" w:cs="Arial" w:eastAsia="Arial" w:hAnsi="Arial"/>
          <w:b w:val="false"/>
          <w:bCs w:val="false"/>
          <w:i/>
          <w:iCs/>
          <w:color w:val="000000"/>
          <w:sz w:val="18"/>
          <w:szCs w:val="18"/>
        </w:rPr>
        <w:t xml:space="preserve">Rs. lakh, outstanding as at June 2026 per the debt profile furnished. Combined equated monthly instalments Rs. 4.69 lakh, equivalent to annual debt service of Rs. 56.25 lakh of which Rs. 22.53 lakh is interest and Rs. 33.72 lakh scheduled principal. Three matters require correction by the borrower: the second Mahindra &amp; Mahindra vehicle loan shows a disbursal date of 02-Dec-2026, an instalment end date of 05-Apr-2026 and an outstanding balance exceeding its sanction, a combination that cannot be correct; the Bank of India Rs. 20 lakh machinery loan is described as unsecured although its sanction letter hypothecates three named machines under CGTMSE; and total term outstanding of Rs. 206.18 lakh does not agree with term debt of Rs. 142.16 lakh in the 31-Mar-2026 provisional balance sheet, a difference of about Rs. 64 lakh most likely explained by the SIDBI facility being drawn after year end. It is further noted that three facilities totalling Rs. 162.99 lakh were sanctioned between 06 and 25 February 2026 — a loan-stacking pattern that should be explained.</w:t>
      </w:r>
    </w:p>
    <w:p>
      <w:pPr>
        <w:pStyle w:val="Heading2"/>
        <w:spacing w:after="80" w:before="160"/>
        <w:jc w:val="left"/>
      </w:pPr>
      <w:r>
        <w:rPr>
          <w:rFonts w:ascii="Arial" w:cs="Arial" w:eastAsia="Arial" w:hAnsi="Arial"/>
          <w:b/>
          <w:bCs/>
          <w:color w:val="2E75B6"/>
          <w:sz w:val="22"/>
          <w:szCs w:val="22"/>
        </w:rPr>
        <w:t xml:space="preserve">Proposed Term Borrowings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Bank / Lender</w:t>
            </w:r>
          </w:p>
        </w:tc>
        <w:tc>
          <w:tcPr>
            <w:tcW w:type="dxa" w:w="30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Nature</w:t>
            </w:r>
          </w:p>
        </w:tc>
        <w:tc>
          <w:tcPr>
            <w:tcW w:type="dxa" w:w="30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Amount</w:t>
            </w:r>
          </w:p>
        </w:tc>
      </w:tr>
      <w:tr>
        <w:trPr>
          <w:tblHeader w:val="false"/>
        </w:trPr>
        <w:tc>
          <w:tcPr>
            <w:tcW w:type="dxa" w:w="32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None proposed</w:t>
            </w:r>
          </w:p>
        </w:tc>
        <w:tc>
          <w:tcPr>
            <w:tcW w:type="dxa" w:w="30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Not applicable</w:t>
            </w:r>
          </w:p>
        </w:tc>
        <w:tc>
          <w:tcPr>
            <w:tcW w:type="dxa" w:w="30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r>
    </w:tbl>
    <w:p>
      <w:pPr>
        <w:pStyle w:val="Heading2"/>
        <w:spacing w:after="80" w:before="160"/>
        <w:jc w:val="left"/>
      </w:pPr>
      <w:r>
        <w:rPr>
          <w:rFonts w:ascii="Arial" w:cs="Arial" w:eastAsia="Arial" w:hAnsi="Arial"/>
          <w:b/>
          <w:bCs/>
          <w:color w:val="2E75B6"/>
          <w:sz w:val="22"/>
          <w:szCs w:val="22"/>
        </w:rPr>
        <w:t xml:space="preserve">Existing Working Capital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600"/>
        <w:gridCol w:w="1400"/>
        <w:gridCol w:w="960"/>
      </w:tblGrid>
      <w:tr>
        <w:trPr>
          <w:tblHeader/>
        </w:trPr>
        <w:tc>
          <w:tcPr>
            <w:tcW w:type="dxa" w:w="2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Bank</w:t>
            </w:r>
          </w:p>
        </w:tc>
        <w:tc>
          <w:tcPr>
            <w:tcW w:type="dxa" w:w="1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FB Limits</w:t>
            </w:r>
          </w:p>
        </w:tc>
        <w:tc>
          <w:tcPr>
            <w:tcW w:type="dxa" w:w="1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O/s</w:t>
            </w:r>
          </w:p>
        </w:tc>
        <w:tc>
          <w:tcPr>
            <w:tcW w:type="dxa" w:w="16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NFB Limits</w:t>
            </w:r>
          </w:p>
        </w:tc>
        <w:tc>
          <w:tcPr>
            <w:tcW w:type="dxa" w:w="140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O/s</w:t>
            </w:r>
          </w:p>
        </w:tc>
        <w:tc>
          <w:tcPr>
            <w:tcW w:type="dxa" w:w="96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Total</w:t>
            </w:r>
          </w:p>
        </w:tc>
      </w:tr>
      <w:tr>
        <w:trPr>
          <w:tblHeader w:val="false"/>
        </w:trPr>
        <w:tc>
          <w:tcPr>
            <w:tcW w:type="dxa" w:w="2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Bank of India (Cash Credit)</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1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252.1</w:t>
            </w:r>
          </w:p>
        </w:tc>
        <w:tc>
          <w:tcPr>
            <w:tcW w:type="dxa" w:w="16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40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96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r>
      <w:tr>
        <w:trPr>
          <w:tblHeader w:val="false"/>
        </w:trPr>
        <w:tc>
          <w:tcPr>
            <w:tcW w:type="dxa" w:w="2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1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252.1</w:t>
            </w:r>
          </w:p>
        </w:tc>
        <w:tc>
          <w:tcPr>
            <w:tcW w:type="dxa" w:w="16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140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96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r>
    </w:tbl>
    <w:p>
      <w:pPr>
        <w:spacing w:after="80" w:before="80"/>
        <w:jc w:val="both"/>
      </w:pPr>
      <w:r>
        <w:rPr>
          <w:rFonts w:ascii="Arial" w:cs="Arial" w:eastAsia="Arial" w:hAnsi="Arial"/>
          <w:b w:val="false"/>
          <w:bCs w:val="false"/>
          <w:i/>
          <w:iCs/>
          <w:color w:val="000000"/>
          <w:sz w:val="18"/>
          <w:szCs w:val="18"/>
        </w:rPr>
        <w:t xml:space="preserve">Rs. lakh; outstanding as at 21-Jul-2026 per the Bank of India statement analysis. Utilisation stands at 100.8%, an overdrawing of Rs. 2.11 lakh against the sanctioned limit, with no headroom available. Margin stipulated at 25%; interest linked to the one-year repo-based lending rate with a CGTMSE concession. The sanction letters on file evidence the limit progression from Rs. 90 lakh to Rs. 160 lakh; the letter evidencing the current Rs. 250 lakh limit was not supplied and is a condition precedent.</w:t>
      </w:r>
    </w:p>
    <w:p>
      <w:pPr>
        <w:pStyle w:val="Heading2"/>
        <w:spacing w:after="80" w:before="160"/>
        <w:jc w:val="left"/>
      </w:pPr>
      <w:r>
        <w:rPr>
          <w:rFonts w:ascii="Arial" w:cs="Arial" w:eastAsia="Arial" w:hAnsi="Arial"/>
          <w:b/>
          <w:bCs/>
          <w:color w:val="2E75B6"/>
          <w:sz w:val="22"/>
          <w:szCs w:val="22"/>
        </w:rPr>
        <w:t xml:space="preserve">Proposed Working Capital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Bank</w:t>
            </w:r>
          </w:p>
        </w:tc>
        <w:tc>
          <w:tcPr>
            <w:tcW w:type="dxa" w:w="20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Fund Based</w:t>
            </w:r>
          </w:p>
        </w:tc>
        <w:tc>
          <w:tcPr>
            <w:tcW w:type="dxa" w:w="20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Non-Fund Based</w:t>
            </w:r>
          </w:p>
        </w:tc>
        <w:tc>
          <w:tcPr>
            <w:tcW w:type="dxa" w:w="2080"/>
            <w:gridSpan w:val="1"/>
            <w:tcBorders>
              <w:top w:val="single" w:color="999999" w:sz="1"/>
              <w:left w:val="single" w:color="999999" w:sz="1"/>
              <w:bottom w:val="single" w:color="999999" w:sz="1"/>
              <w:right w:val="single" w:color="999999" w:sz="1"/>
            </w:tcBorders>
            <w:shd w:fill="1F3864" w:color="auto"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Total</w:t>
            </w:r>
          </w:p>
        </w:tc>
      </w:tr>
      <w:tr>
        <w:trPr>
          <w:tblHeader w:val="false"/>
        </w:trPr>
        <w:tc>
          <w:tcPr>
            <w:tcW w:type="dxa" w:w="31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Evam Finance Private Limited (WCL, revolving)</w:t>
            </w:r>
          </w:p>
        </w:tc>
        <w:tc>
          <w:tcPr>
            <w:tcW w:type="dxa" w:w="20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c>
          <w:tcPr>
            <w:tcW w:type="dxa" w:w="20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20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100.0</w:t>
            </w:r>
          </w:p>
        </w:tc>
      </w:tr>
      <w:tr>
        <w:trPr>
          <w:tblHeader w:val="false"/>
        </w:trPr>
        <w:tc>
          <w:tcPr>
            <w:tcW w:type="dxa" w:w="312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Bank of India (Cash Credit, existing)</w:t>
            </w:r>
          </w:p>
        </w:tc>
        <w:tc>
          <w:tcPr>
            <w:tcW w:type="dxa" w:w="20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c>
          <w:tcPr>
            <w:tcW w:type="dxa" w:w="20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2080"/>
            <w:gridSpan w:val="1"/>
            <w:tcBorders>
              <w:top w:val="single" w:color="999999" w:sz="1"/>
              <w:left w:val="single" w:color="999999" w:sz="1"/>
              <w:bottom w:val="single" w:color="999999" w:sz="1"/>
              <w:right w:val="single" w:color="999999" w:sz="1"/>
            </w:tcBorders>
            <w:shd w:fill="D6E4F0"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250.0</w:t>
            </w:r>
          </w:p>
        </w:tc>
      </w:tr>
      <w:tr>
        <w:trPr>
          <w:tblHeader w:val="false"/>
        </w:trPr>
        <w:tc>
          <w:tcPr>
            <w:tcW w:type="dxa" w:w="312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bCs/>
                <w:color w:val="000000"/>
                <w:sz w:val="18"/>
                <w:szCs w:val="18"/>
              </w:rPr>
              <w:t xml:space="preserve">Total working capital limits post-sanction</w:t>
            </w:r>
          </w:p>
        </w:tc>
        <w:tc>
          <w:tcPr>
            <w:tcW w:type="dxa" w:w="20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350.0</w:t>
            </w:r>
          </w:p>
        </w:tc>
        <w:tc>
          <w:tcPr>
            <w:tcW w:type="dxa" w:w="20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Nil</w:t>
            </w:r>
          </w:p>
        </w:tc>
        <w:tc>
          <w:tcPr>
            <w:tcW w:type="dxa" w:w="2080"/>
            <w:gridSpan w:val="1"/>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spacing w:after="0" w:before="0"/>
              <w:jc w:val="right"/>
            </w:pPr>
            <w:r>
              <w:rPr>
                <w:rFonts w:ascii="Arial" w:cs="Arial" w:eastAsia="Arial" w:hAnsi="Arial"/>
                <w:b w:val="false"/>
                <w:bCs w:val="false"/>
                <w:color w:val="000000"/>
                <w:sz w:val="18"/>
                <w:szCs w:val="18"/>
              </w:rPr>
              <w:t xml:space="preserve">350.0</w:t>
            </w:r>
          </w:p>
        </w:tc>
      </w:tr>
    </w:tbl>
    <w:p>
      <w:pPr>
        <w:spacing w:after="80" w:before="80"/>
        <w:jc w:val="both"/>
      </w:pPr>
      <w:r>
        <w:rPr>
          <w:rFonts w:ascii="Arial" w:cs="Arial" w:eastAsia="Arial" w:hAnsi="Arial"/>
          <w:b w:val="false"/>
          <w:bCs w:val="false"/>
          <w:i/>
          <w:iCs/>
          <w:color w:val="000000"/>
          <w:sz w:val="18"/>
          <w:szCs w:val="18"/>
        </w:rPr>
        <w:t xml:space="preserve">Rs. lakh. Combined limits of Rs. 350 lakh compare with an assessed maximum permissible bank finance of Rs. 339.66 lakh on management’s FY 2026–27 projection and Rs. 243.74 lakh on the Analyst Base Case. The over-assessment against the base case is addressed in Section 8 and is managed through order-linked drawdown, a 25% single-name cap and a commitment to review the limit downward at renewal if delivered turnover falls materially short of Rs. 4,200 lakh.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center"/>
    </w:pPr>
    <w:r>
      <w:rPr>
        <w:rFonts w:ascii="Arial" w:cs="Arial" w:eastAsia="Arial" w:hAnsi="Arial"/>
        <w:i/>
        <w:iCs/>
        <w:color w:val="666666"/>
        <w:sz w:val="16"/>
        <w:szCs w:val="16"/>
      </w:rPr>
      <w:t xml:space="preserve">Confidential – For internal use only | Page </w:t>
    </w:r>
    <w:r>
      <w:rPr>
        <w:rFonts w:ascii="Arial" w:cs="Arial" w:eastAsia="Arial" w:hAnsi="Arial"/>
        <w:i/>
        <w:iCs/>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60"/>
      <w:jc w:val="left"/>
    </w:pPr>
    <w:r>
      <w:rPr>
        <w:rFonts w:ascii="Arial" w:cs="Arial" w:eastAsia="Arial" w:hAnsi="Arial"/>
        <w:b/>
        <w:bCs/>
        <w:color w:val="1F3864"/>
        <w:sz w:val="18"/>
        <w:szCs w:val="18"/>
      </w:rPr>
      <w:t xml:space="preserve">Evam Finance Private Limited | Credit Appraisal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8"/>
        <w:szCs w:val="18"/>
      </w:rPr>
    </w:rPrDefault>
    <w:pPrDefault>
      <w:pPr>
        <w:spacing w:after="80" w:before="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Appraisal Memorandum — Pinnacle Lithium Power</dc:title>
  <dc:creator>Evam Finance Private Limited — Credit Risk Group</dc:creator>
  <dc:description>CAM for proposed Working Capital Loan of Rs. 100 lakh</dc:description>
  <cp:lastModifiedBy>Un-named</cp:lastModifiedBy>
  <cp:revision>1</cp:revision>
  <dcterms:created xsi:type="dcterms:W3CDTF">2026-07-29T11:01:57.897Z</dcterms:created>
  <dcterms:modified xsi:type="dcterms:W3CDTF">2026-07-29T11:01:57.898Z</dcterms:modified>
</cp:coreProperties>
</file>

<file path=docProps/custom.xml><?xml version="1.0" encoding="utf-8"?>
<Properties xmlns="http://schemas.openxmlformats.org/officeDocument/2006/custom-properties" xmlns:vt="http://schemas.openxmlformats.org/officeDocument/2006/docPropsVTypes"/>
</file>