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StudioCar AI</w:t>
      </w:r>
    </w:p>
    <w:p>
      <w:pPr>
        <w:jc w:val="left"/>
      </w:pPr>
      <w:r>
        <w:rPr>
          <w:color w:val="505050"/>
          <w:sz w:val="24"/>
        </w:rPr>
        <w:t>Technical Specification — Screenshot-driven UI + production-oriented asynchronous image processing platform</w:t>
      </w:r>
    </w:p>
    <w:p>
      <w:pPr>
        <w:spacing w:after="80"/>
      </w:pPr>
      <w:r>
        <w:t>Approved baseline: Next.js App Router, Turborepo, pnpm, TypeScript, Tailwind CSS, Zustand, Zod, PostgreSQL, Prisma, Google OAuth, MSG91 OTP, Resend, AWS S3/SQS/Lambda, remove.bg initially, Vercel deployment, GitHub Actions CI/CD, Node.js &gt;= 24.</w:t>
      </w:r>
    </w:p>
    <w:p>
      <w:pPr>
        <w:spacing w:after="80"/>
      </w:pPr>
      <w:r>
        <w:t>Primary design goal: preserve a clean product/UI layer while making background-removal compute replaceable. The application must migrate from remove.bg to fal.ai BiRefNet v2 or a self-hosted BiRefNet worker fleet without changing the user-facing workflow or core domain model.</w:t>
      </w:r>
    </w:p>
    <w:p>
      <w:pPr>
        <w:spacing w:after="80"/>
      </w:pPr>
      <w:r>
        <w:t>Status: Architecture approved. This document is the implementation specification that precedes creation of the coding-agent prompt.</w:t>
      </w:r>
    </w:p>
    <w:p/>
    <w:tbl>
      <w:tblPr>
        <w:tblStyle w:val="TableGrid"/>
        <w:tblW w:type="auto" w:w="0"/>
        <w:jc w:val="center"/>
        <w:tblLook w:firstColumn="1" w:firstRow="1" w:lastColumn="0" w:lastRow="0" w:noHBand="0" w:noVBand="1" w:val="04A0"/>
      </w:tblPr>
      <w:tblGrid>
        <w:gridCol w:w="5083"/>
        <w:gridCol w:w="5083"/>
      </w:tblGrid>
      <w:tr>
        <w:tc>
          <w:tcPr>
            <w:tcW w:type="dxa" w:w="5083"/>
            <w:shd w:fill="EDEDED"/>
          </w:tcPr>
          <w:p>
            <w:r>
              <w:rPr>
                <w:b/>
              </w:rPr>
              <w:t>Decision</w:t>
            </w:r>
          </w:p>
        </w:tc>
        <w:tc>
          <w:tcPr>
            <w:tcW w:type="dxa" w:w="5083"/>
            <w:shd w:fill="EDEDED"/>
          </w:tcPr>
          <w:p>
            <w:r>
              <w:rPr>
                <w:b/>
              </w:rPr>
              <w:t>Approved choice</w:t>
            </w:r>
          </w:p>
        </w:tc>
      </w:tr>
      <w:tr>
        <w:tc>
          <w:tcPr>
            <w:tcW w:type="dxa" w:w="5083"/>
            <w:vAlign w:val="top"/>
          </w:tcPr>
          <w:p>
            <w:r>
              <w:t>Repository</w:t>
            </w:r>
          </w:p>
        </w:tc>
        <w:tc>
          <w:tcPr>
            <w:tcW w:type="dxa" w:w="5083"/>
            <w:vAlign w:val="top"/>
          </w:tcPr>
          <w:p>
            <w:r>
              <w:t>Turborepo monorepo managed with pnpm workspaces</w:t>
            </w:r>
          </w:p>
        </w:tc>
      </w:tr>
      <w:tr>
        <w:tc>
          <w:tcPr>
            <w:tcW w:type="dxa" w:w="5083"/>
            <w:vAlign w:val="top"/>
          </w:tcPr>
          <w:p>
            <w:r>
              <w:t>Application</w:t>
            </w:r>
          </w:p>
        </w:tc>
        <w:tc>
          <w:tcPr>
            <w:tcW w:type="dxa" w:w="5083"/>
            <w:vAlign w:val="top"/>
          </w:tcPr>
          <w:p>
            <w:r>
              <w:t>Next.js App Router on Vercel; no separately deployed CRUD/API backend</w:t>
            </w:r>
          </w:p>
        </w:tc>
      </w:tr>
      <w:tr>
        <w:tc>
          <w:tcPr>
            <w:tcW w:type="dxa" w:w="5083"/>
            <w:vAlign w:val="top"/>
          </w:tcPr>
          <w:p>
            <w:r>
              <w:t>Uploads</w:t>
            </w:r>
          </w:p>
        </w:tc>
        <w:tc>
          <w:tcPr>
            <w:tcW w:type="dxa" w:w="5083"/>
            <w:vAlign w:val="top"/>
          </w:tcPr>
          <w:p>
            <w:r>
              <w:t>Browser → private S3 using presigned PUT</w:t>
            </w:r>
          </w:p>
        </w:tc>
      </w:tr>
      <w:tr>
        <w:tc>
          <w:tcPr>
            <w:tcW w:type="dxa" w:w="5083"/>
            <w:vAlign w:val="top"/>
          </w:tcPr>
          <w:p>
            <w:r>
              <w:t>Async processing</w:t>
            </w:r>
          </w:p>
        </w:tc>
        <w:tc>
          <w:tcPr>
            <w:tcW w:type="dxa" w:w="5083"/>
            <w:vAlign w:val="top"/>
          </w:tcPr>
          <w:p>
            <w:r>
              <w:t>Upload commit → SQS → Lambda worker → provider</w:t>
            </w:r>
          </w:p>
        </w:tc>
      </w:tr>
      <w:tr>
        <w:tc>
          <w:tcPr>
            <w:tcW w:type="dxa" w:w="5083"/>
            <w:vAlign w:val="top"/>
          </w:tcPr>
          <w:p>
            <w:r>
              <w:t>V1 provider</w:t>
            </w:r>
          </w:p>
        </w:tc>
        <w:tc>
          <w:tcPr>
            <w:tcW w:type="dxa" w:w="5083"/>
            <w:vAlign w:val="top"/>
          </w:tcPr>
          <w:p>
            <w:r>
              <w:t>remove.bg</w:t>
            </w:r>
          </w:p>
        </w:tc>
      </w:tr>
      <w:tr>
        <w:tc>
          <w:tcPr>
            <w:tcW w:type="dxa" w:w="5083"/>
            <w:vAlign w:val="top"/>
          </w:tcPr>
          <w:p>
            <w:r>
              <w:t>Future providers</w:t>
            </w:r>
          </w:p>
        </w:tc>
        <w:tc>
          <w:tcPr>
            <w:tcW w:type="dxa" w:w="5083"/>
            <w:vAlign w:val="top"/>
          </w:tcPr>
          <w:p>
            <w:r>
              <w:t>fal.ai BiRefNet v2 or self-hosted BiRefNet</w:t>
            </w:r>
          </w:p>
        </w:tc>
      </w:tr>
      <w:tr>
        <w:tc>
          <w:tcPr>
            <w:tcW w:type="dxa" w:w="5083"/>
            <w:vAlign w:val="top"/>
          </w:tcPr>
          <w:p>
            <w:r>
              <w:t>Job updates</w:t>
            </w:r>
          </w:p>
        </w:tc>
        <w:tc>
          <w:tcPr>
            <w:tcW w:type="dxa" w:w="5083"/>
            <w:vAlign w:val="top"/>
          </w:tcPr>
          <w:p>
            <w:r>
              <w:t>Adaptive polling; stage-based status, not fake percentage</w:t>
            </w:r>
          </w:p>
        </w:tc>
      </w:tr>
      <w:tr>
        <w:tc>
          <w:tcPr>
            <w:tcW w:type="dxa" w:w="5083"/>
            <w:vAlign w:val="top"/>
          </w:tcPr>
          <w:p>
            <w:r>
              <w:t>Database</w:t>
            </w:r>
          </w:p>
        </w:tc>
        <w:tc>
          <w:tcPr>
            <w:tcW w:type="dxa" w:w="5083"/>
            <w:vAlign w:val="top"/>
          </w:tcPr>
          <w:p>
            <w:r>
              <w:t>PostgreSQL + Prisma</w:t>
            </w:r>
          </w:p>
        </w:tc>
      </w:tr>
      <w:tr>
        <w:tc>
          <w:tcPr>
            <w:tcW w:type="dxa" w:w="5083"/>
            <w:vAlign w:val="top"/>
          </w:tcPr>
          <w:p>
            <w:r>
              <w:t>Client state</w:t>
            </w:r>
          </w:p>
        </w:tc>
        <w:tc>
          <w:tcPr>
            <w:tcW w:type="dxa" w:w="5083"/>
            <w:vAlign w:val="top"/>
          </w:tcPr>
          <w:p>
            <w:r>
              <w:t>Zustand only for transient interactive state</w:t>
            </w:r>
          </w:p>
        </w:tc>
      </w:tr>
      <w:tr>
        <w:tc>
          <w:tcPr>
            <w:tcW w:type="dxa" w:w="5083"/>
            <w:vAlign w:val="top"/>
          </w:tcPr>
          <w:p>
            <w:r>
              <w:t>Source of truth</w:t>
            </w:r>
          </w:p>
        </w:tc>
        <w:tc>
          <w:tcPr>
            <w:tcW w:type="dxa" w:w="5083"/>
            <w:vAlign w:val="top"/>
          </w:tcPr>
          <w:p>
            <w:r>
              <w:t>PostgreSQL for job/business state; S3 for bytes; SQS for work transport</w:t>
            </w:r>
          </w:p>
        </w:tc>
      </w:tr>
    </w:tbl>
    <w:p/>
    <w:p>
      <w:r>
        <w:br w:type="page"/>
      </w:r>
    </w:p>
    <w:p>
      <w:pPr>
        <w:pStyle w:val="Heading1"/>
      </w:pPr>
      <w:r>
        <w:t>1. Purpose and scope</w:t>
      </w:r>
    </w:p>
    <w:p>
      <w:pPr>
        <w:spacing w:after="80"/>
      </w:pPr>
      <w:r>
        <w:t>StudioCar AI is an image-processing SaaS for automotive inventory. Users create a vehicle record, upload multiple vehicle photos, choose treatment options, submit the vehicle for asynchronous processing, monitor progress, review results, manage inventory/portfolio, and track plan usage. The screenshots supplied in Screens.zip are the visual source of truth for the implemented routes and workflows.</w:t>
      </w:r>
    </w:p>
    <w:p>
      <w:pPr>
        <w:spacing w:after="80"/>
      </w:pPr>
      <w:r>
        <w:t>The specification focuses on system design, performance, resilience, security, replaceable ML processing, maintainable boundaries, and deterministic testing. Pixel-level implementation should follow the screenshots while the architecture below governs behavior behind those screens.</w:t>
      </w:r>
    </w:p>
    <w:p>
      <w:pPr>
        <w:pStyle w:val="Heading2"/>
      </w:pPr>
      <w:r>
        <w:t>1.1 In scope</w:t>
      </w:r>
    </w:p>
    <w:p>
      <w:pPr>
        <w:pStyle w:val="ListBullet"/>
        <w:spacing w:after="20"/>
      </w:pPr>
      <w:r>
        <w:t>Public marketing homepage and pricing sections shown in the screenshots.</w:t>
      </w:r>
    </w:p>
    <w:p>
      <w:pPr>
        <w:pStyle w:val="ListBullet"/>
        <w:spacing w:after="20"/>
      </w:pPr>
      <w:r>
        <w:t>Authenticated dashboard, inventory, vehicle portfolio/detail, usage &amp; billing, and profile/account shell.</w:t>
      </w:r>
    </w:p>
    <w:p>
      <w:pPr>
        <w:pStyle w:val="ListBullet"/>
        <w:spacing w:after="20"/>
      </w:pPr>
      <w:r>
        <w:t>Four-step vehicle creation dialog: Vehicle details → Upload photos → Customize treatment → Review &amp; process.</w:t>
      </w:r>
    </w:p>
    <w:p>
      <w:pPr>
        <w:pStyle w:val="ListBullet"/>
        <w:spacing w:after="20"/>
      </w:pPr>
      <w:r>
        <w:t>Google OAuth and phone-number OTP authentication through MSG91.</w:t>
      </w:r>
    </w:p>
    <w:p>
      <w:pPr>
        <w:pStyle w:val="ListBullet"/>
        <w:spacing w:after="20"/>
      </w:pPr>
      <w:r>
        <w:t>Direct-to-S3 uploads, asynchronous image processing, status polling, retry/error handling and processed asset delivery.</w:t>
      </w:r>
    </w:p>
    <w:p>
      <w:pPr>
        <w:pStyle w:val="ListBullet"/>
        <w:spacing w:after="20"/>
      </w:pPr>
      <w:r>
        <w:t>Usage metering foundation and plan-capacity enforcement; payment-provider integration itself is intentionally left behind a billing adapter unless separately selected.</w:t>
      </w:r>
    </w:p>
    <w:p>
      <w:pPr>
        <w:pStyle w:val="ListBullet"/>
        <w:spacing w:after="20"/>
      </w:pPr>
      <w:r>
        <w:t>Resend email delivery through an asynchronous notification queue.</w:t>
      </w:r>
    </w:p>
    <w:p>
      <w:pPr>
        <w:pStyle w:val="ListBullet"/>
        <w:spacing w:after="20"/>
      </w:pPr>
      <w:r>
        <w:t>GitHub Actions CI/CD, Vercel application deployment and AWS worker/storage infrastructure.</w:t>
      </w:r>
    </w:p>
    <w:p>
      <w:pPr>
        <w:pStyle w:val="Heading2"/>
      </w:pPr>
      <w:r>
        <w:t>1.2 Non-goals for V1</w:t>
      </w:r>
    </w:p>
    <w:p>
      <w:pPr>
        <w:pStyle w:val="ListBullet"/>
        <w:spacing w:after="20"/>
      </w:pPr>
      <w:r>
        <w:t>Running BiRefNet inside Vercel functions.</w:t>
      </w:r>
    </w:p>
    <w:p>
      <w:pPr>
        <w:pStyle w:val="ListBullet"/>
        <w:spacing w:after="20"/>
      </w:pPr>
      <w:r>
        <w:t>WebSocket infrastructure solely for job progress.</w:t>
      </w:r>
    </w:p>
    <w:p>
      <w:pPr>
        <w:pStyle w:val="ListBullet"/>
        <w:spacing w:after="20"/>
      </w:pPr>
      <w:r>
        <w:t>Sending large image bodies through Next.js/Vercel.</w:t>
      </w:r>
    </w:p>
    <w:p>
      <w:pPr>
        <w:pStyle w:val="ListBullet"/>
        <w:spacing w:after="20"/>
      </w:pPr>
      <w:r>
        <w:t>Treating Zustand as a cache of canonical server data.</w:t>
      </w:r>
    </w:p>
    <w:p>
      <w:pPr>
        <w:pStyle w:val="ListBullet"/>
        <w:spacing w:after="20"/>
      </w:pPr>
      <w:r>
        <w:t>Coupling domain/application services to remove.bg response shapes.</w:t>
      </w:r>
    </w:p>
    <w:p>
      <w:pPr>
        <w:pStyle w:val="ListBullet"/>
        <w:spacing w:after="20"/>
      </w:pPr>
      <w:r>
        <w:t>Fake progress percentages when the processing provider exposes only discrete states.</w:t>
      </w:r>
    </w:p>
    <w:p>
      <w:pPr>
        <w:pStyle w:val="Heading1"/>
      </w:pPr>
      <w:r>
        <w:t>2. Screenshot-derived product 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tcPr>
          <w:p>
            <w:r>
              <w:rPr>
                <w:b/>
              </w:rPr>
              <w:t>Area</w:t>
            </w:r>
          </w:p>
        </w:tc>
        <w:tc>
          <w:tcPr>
            <w:tcW w:type="dxa" w:w="3389"/>
            <w:shd w:fill="EDEDED"/>
          </w:tcPr>
          <w:p>
            <w:r>
              <w:rPr>
                <w:b/>
              </w:rPr>
              <w:t>Route</w:t>
            </w:r>
          </w:p>
        </w:tc>
        <w:tc>
          <w:tcPr>
            <w:tcW w:type="dxa" w:w="3389"/>
            <w:shd w:fill="EDEDED"/>
          </w:tcPr>
          <w:p>
            <w:r>
              <w:rPr>
                <w:b/>
              </w:rPr>
              <w:t>Required behavior</w:t>
            </w:r>
          </w:p>
        </w:tc>
      </w:tr>
      <w:tr>
        <w:tc>
          <w:tcPr>
            <w:tcW w:type="dxa" w:w="3389"/>
            <w:vAlign w:val="top"/>
          </w:tcPr>
          <w:p>
            <w:r>
              <w:t>Homepage</w:t>
            </w:r>
          </w:p>
        </w:tc>
        <w:tc>
          <w:tcPr>
            <w:tcW w:type="dxa" w:w="3389"/>
            <w:vAlign w:val="top"/>
          </w:tcPr>
          <w:p>
            <w:r>
              <w:t>/</w:t>
            </w:r>
          </w:p>
        </w:tc>
        <w:tc>
          <w:tcPr>
            <w:tcW w:type="dxa" w:w="3389"/>
            <w:vAlign w:val="top"/>
          </w:tcPr>
          <w:p>
            <w:r>
              <w:t>Marketing navigation, hero comparison, workflow explanation, visual-quality section, pricing, CTA/footer.</w:t>
            </w:r>
          </w:p>
        </w:tc>
      </w:tr>
      <w:tr>
        <w:tc>
          <w:tcPr>
            <w:tcW w:type="dxa" w:w="3389"/>
            <w:vAlign w:val="top"/>
          </w:tcPr>
          <w:p>
            <w:r>
              <w:t>Dashboard</w:t>
            </w:r>
          </w:p>
        </w:tc>
        <w:tc>
          <w:tcPr>
            <w:tcW w:type="dxa" w:w="3389"/>
            <w:vAlign w:val="top"/>
          </w:tcPr>
          <w:p>
            <w:r>
              <w:t>/dashboard</w:t>
            </w:r>
          </w:p>
        </w:tc>
        <w:tc>
          <w:tcPr>
            <w:tcW w:type="dxa" w:w="3389"/>
            <w:vAlign w:val="top"/>
          </w:tcPr>
          <w:p>
            <w:r>
              <w:t>Greeting, operational metrics, recent/latest vehicles, processing/usage summary, upload CTA.</w:t>
            </w:r>
          </w:p>
        </w:tc>
      </w:tr>
      <w:tr>
        <w:tc>
          <w:tcPr>
            <w:tcW w:type="dxa" w:w="3389"/>
            <w:vAlign w:val="top"/>
          </w:tcPr>
          <w:p>
            <w:r>
              <w:t>Inventory</w:t>
            </w:r>
          </w:p>
        </w:tc>
        <w:tc>
          <w:tcPr>
            <w:tcW w:type="dxa" w:w="3389"/>
            <w:vAlign w:val="top"/>
          </w:tcPr>
          <w:p>
            <w:r>
              <w:t>/inventory</w:t>
            </w:r>
          </w:p>
        </w:tc>
        <w:tc>
          <w:tcPr>
            <w:tcW w:type="dxa" w:w="3389"/>
            <w:vAlign w:val="top"/>
          </w:tcPr>
          <w:p>
            <w:r>
              <w:t>Search/filter/sort, vehicle grid, per-card processing state, create/upload vehicle CTA.</w:t>
            </w:r>
          </w:p>
        </w:tc>
      </w:tr>
      <w:tr>
        <w:tc>
          <w:tcPr>
            <w:tcW w:type="dxa" w:w="3389"/>
            <w:vAlign w:val="top"/>
          </w:tcPr>
          <w:p>
            <w:r>
              <w:t>Vehicle portfolio</w:t>
            </w:r>
          </w:p>
        </w:tc>
        <w:tc>
          <w:tcPr>
            <w:tcW w:type="dxa" w:w="3389"/>
            <w:vAlign w:val="top"/>
          </w:tcPr>
          <w:p>
            <w:r>
              <w:t>/inventory/[vehicleId]</w:t>
            </w:r>
          </w:p>
        </w:tc>
        <w:tc>
          <w:tcPr>
            <w:tcW w:type="dxa" w:w="3389"/>
            <w:vAlign w:val="top"/>
          </w:tcPr>
          <w:p>
            <w:r>
              <w:t>Vehicle title/metadata, hero processed image, image rail/grid, view controls and result actions.</w:t>
            </w:r>
          </w:p>
        </w:tc>
      </w:tr>
      <w:tr>
        <w:tc>
          <w:tcPr>
            <w:tcW w:type="dxa" w:w="3389"/>
            <w:vAlign w:val="top"/>
          </w:tcPr>
          <w:p>
            <w:r>
              <w:t>Usage &amp; Billing</w:t>
            </w:r>
          </w:p>
        </w:tc>
        <w:tc>
          <w:tcPr>
            <w:tcW w:type="dxa" w:w="3389"/>
            <w:vAlign w:val="top"/>
          </w:tcPr>
          <w:p>
            <w:r>
              <w:t>/settings/billing</w:t>
            </w:r>
          </w:p>
        </w:tc>
        <w:tc>
          <w:tcPr>
            <w:tcW w:type="dxa" w:w="3389"/>
            <w:vAlign w:val="top"/>
          </w:tcPr>
          <w:p>
            <w:r>
              <w:t>Current plan, usage/capacity indicators, plan cards and upgrade controls.</w:t>
            </w:r>
          </w:p>
        </w:tc>
      </w:tr>
      <w:tr>
        <w:tc>
          <w:tcPr>
            <w:tcW w:type="dxa" w:w="3389"/>
            <w:vAlign w:val="top"/>
          </w:tcPr>
          <w:p>
            <w:r>
              <w:t>Profile</w:t>
            </w:r>
          </w:p>
        </w:tc>
        <w:tc>
          <w:tcPr>
            <w:tcW w:type="dxa" w:w="3389"/>
            <w:vAlign w:val="top"/>
          </w:tcPr>
          <w:p>
            <w:r>
              <w:t>/settings/profile</w:t>
            </w:r>
          </w:p>
        </w:tc>
        <w:tc>
          <w:tcPr>
            <w:tcW w:type="dxa" w:w="3389"/>
            <w:vAlign w:val="top"/>
          </w:tcPr>
          <w:p>
            <w:r>
              <w:t>Account/auth identities, profile data and session/security controls; visual language derived from authenticated shell.</w:t>
            </w:r>
          </w:p>
        </w:tc>
      </w:tr>
    </w:tbl>
    <w:p/>
    <w:p>
      <w:pPr>
        <w:pStyle w:val="Heading2"/>
      </w:pPr>
      <w:r>
        <w:t>2.1 Screenshot inventory</w:t>
      </w:r>
    </w:p>
    <w:p>
      <w:pPr>
        <w:spacing w:after="80"/>
      </w:pPr>
      <w:r>
        <w:t>Dashboard_Page/Screenshot 2026-09-18 at 3.19.24 PM.png</w:t>
      </w:r>
    </w:p>
    <w:p>
      <w:pPr>
        <w:spacing w:after="80"/>
      </w:pPr>
      <w:r>
        <w:t>Home_Page/Screenshot 2026-09-18 at 2.45.29 PM.png</w:t>
      </w:r>
    </w:p>
    <w:p>
      <w:pPr>
        <w:spacing w:after="80"/>
      </w:pPr>
      <w:r>
        <w:t>Home_Page/Screenshot 2026-09-18 at 2.45.37 PM.png</w:t>
      </w:r>
    </w:p>
    <w:p>
      <w:pPr>
        <w:spacing w:after="80"/>
      </w:pPr>
      <w:r>
        <w:t>Home_Page/Screenshot 2026-09-18 at 2.45.43 PM.png</w:t>
      </w:r>
    </w:p>
    <w:p>
      <w:pPr>
        <w:spacing w:after="80"/>
      </w:pPr>
      <w:r>
        <w:t>Home_Page/Screenshot 2026-09-18 at 2.45.49 PM.png</w:t>
      </w:r>
    </w:p>
    <w:p>
      <w:pPr>
        <w:spacing w:after="80"/>
      </w:pPr>
      <w:r>
        <w:t>Home_Page/Screenshot 2026-09-18 at 2.45.56 PM.png</w:t>
      </w:r>
    </w:p>
    <w:p>
      <w:pPr>
        <w:spacing w:after="80"/>
      </w:pPr>
      <w:r>
        <w:t>Home_Page/Screenshot 2026-09-18 at 2.46.02 PM.png</w:t>
      </w:r>
    </w:p>
    <w:p>
      <w:pPr>
        <w:spacing w:after="80"/>
      </w:pPr>
      <w:r>
        <w:t>Inventory_Page/Screenshot 2026-09-18 at 2.49.05 PM.png</w:t>
      </w:r>
    </w:p>
    <w:p>
      <w:pPr>
        <w:spacing w:after="80"/>
      </w:pPr>
      <w:r>
        <w:t>Portfolio_Page/Screenshot 2026-09-18 at 2.52.46 PM.png</w:t>
      </w:r>
    </w:p>
    <w:p>
      <w:pPr>
        <w:spacing w:after="80"/>
      </w:pPr>
      <w:r>
        <w:t>Screenshot 2026-09-18 at 3.20.17 PM.png</w:t>
      </w:r>
    </w:p>
    <w:p>
      <w:pPr>
        <w:spacing w:after="80"/>
      </w:pPr>
      <w:r>
        <w:t>Upload_Vehicle_dialog_box/Screenshot 2026-09-18 at 2.50.11 PM.png</w:t>
      </w:r>
    </w:p>
    <w:p>
      <w:pPr>
        <w:spacing w:after="80"/>
      </w:pPr>
      <w:r>
        <w:t>Upload_Vehicle_dialog_box/Screenshot 2026-09-18 at 2.50.45 PM.png</w:t>
      </w:r>
    </w:p>
    <w:p>
      <w:pPr>
        <w:spacing w:after="80"/>
      </w:pPr>
      <w:r>
        <w:t>Upload_Vehicle_dialog_box/Screenshot 2026-09-18 at 2.51.17 PM.png</w:t>
      </w:r>
    </w:p>
    <w:p>
      <w:pPr>
        <w:spacing w:after="80"/>
      </w:pPr>
      <w:r>
        <w:t>Upload_Vehicle_dialog_box/Screenshot 2026-09-18 at 2.51.45 PM.png</w:t>
      </w:r>
    </w:p>
    <w:p>
      <w:pPr>
        <w:jc w:val="center"/>
      </w:pPr>
      <w:r>
        <w:drawing>
          <wp:inline xmlns:a="http://schemas.openxmlformats.org/drawingml/2006/main" xmlns:pic="http://schemas.openxmlformats.org/drawingml/2006/picture">
            <wp:extent cx="6126480" cy="15594676"/>
            <wp:docPr id="1" name="Picture 1"/>
            <wp:cNvGraphicFramePr>
              <a:graphicFrameLocks noChangeAspect="1"/>
            </wp:cNvGraphicFramePr>
            <a:graphic>
              <a:graphicData uri="http://schemas.openxmlformats.org/drawingml/2006/picture">
                <pic:pic>
                  <pic:nvPicPr>
                    <pic:cNvPr id="0" name="contact_sheet.jpg"/>
                    <pic:cNvPicPr/>
                  </pic:nvPicPr>
                  <pic:blipFill>
                    <a:blip r:embed="rId11"/>
                    <a:stretch>
                      <a:fillRect/>
                    </a:stretch>
                  </pic:blipFill>
                  <pic:spPr>
                    <a:xfrm>
                      <a:off x="0" y="0"/>
                      <a:ext cx="6126480" cy="15594676"/>
                    </a:xfrm>
                    <a:prstGeom prst="rect"/>
                  </pic:spPr>
                </pic:pic>
              </a:graphicData>
            </a:graphic>
          </wp:inline>
        </w:drawing>
      </w:r>
    </w:p>
    <w:p>
      <w:pPr>
        <w:jc w:val="center"/>
      </w:pPr>
      <w:r>
        <w:t>Figure 1 — Contact sheet of the 14 supplied UI screenshots.</w:t>
      </w:r>
    </w:p>
    <w:p>
      <w:pPr>
        <w:pStyle w:val="Heading2"/>
      </w:pPr>
      <w:r>
        <w:t>2.2 UI interpretation rules</w:t>
      </w:r>
    </w:p>
    <w:p>
      <w:pPr>
        <w:pStyle w:val="ListBullet"/>
        <w:spacing w:after="20"/>
      </w:pPr>
      <w:r>
        <w:t>Screenshots define hierarchy, density, component geometry, spacing rhythm, typography scale, navigation placement, card treatment, modal flow and responsive intent.</w:t>
      </w:r>
    </w:p>
    <w:p>
      <w:pPr>
        <w:pStyle w:val="ListBullet"/>
        <w:spacing w:after="20"/>
      </w:pPr>
      <w:r>
        <w:t>Do not hard-code screenshot text as application state. Dynamic values must come from typed server contracts.</w:t>
      </w:r>
    </w:p>
    <w:p>
      <w:pPr>
        <w:pStyle w:val="ListBullet"/>
        <w:spacing w:after="20"/>
      </w:pPr>
      <w:r>
        <w:t>Repeated visual patterns become shared components; screenshot-specific compositions remain route-level sections.</w:t>
      </w:r>
    </w:p>
    <w:p>
      <w:pPr>
        <w:pStyle w:val="ListBullet"/>
        <w:spacing w:after="20"/>
      </w:pPr>
      <w:r>
        <w:t>Authenticated pages share one app shell with sidebar/navigation, top bar, user menu, content container and responsive mobile treatment.</w:t>
      </w:r>
    </w:p>
    <w:p>
      <w:pPr>
        <w:pStyle w:val="ListBullet"/>
        <w:spacing w:after="20"/>
      </w:pPr>
      <w:r>
        <w:t>Empty, loading, error, queued, processing, completed and retry states must be designed even where a screenshot only shows the happy path.</w:t>
      </w:r>
    </w:p>
    <w:p>
      <w:pPr>
        <w:pStyle w:val="Heading1"/>
      </w:pPr>
      <w:r>
        <w:t>3. System architecture</w:t>
      </w:r>
    </w:p>
    <w:p>
      <w:pPr>
        <w:spacing w:after="100"/>
        <w:ind w:left="259"/>
      </w:pPr>
      <w:r>
        <w:rPr>
          <w:rFonts w:ascii="Consolas" w:hAnsi="Consolas"/>
          <w:sz w:val="16"/>
        </w:rPr>
        <w:t>Browser</w:t>
        <w:br/>
        <w:t xml:space="preserve">  ├─ Next.js UI / Server Components / Server Actions / Route Handlers (Vercel)</w:t>
        <w:br/>
        <w:t xml:space="preserve">  │    ├─ Auth + Zod validation</w:t>
        <w:br/>
        <w:t xml:space="preserve">  │    ├─ Prisma → PostgreSQL</w:t>
        <w:br/>
        <w:t xml:space="preserve">  │    ├─ Presign S3 upload/download</w:t>
        <w:br/>
        <w:t xml:space="preserve">  │    └─ Job status / inventory / usage APIs</w:t>
        <w:br/>
        <w:t xml:space="preserve">  │</w:t>
        <w:br/>
        <w:t xml:space="preserve">  └─ direct presigned PUT → private S3</w:t>
        <w:br/>
        <w:t xml:space="preserve">                               │</w:t>
        <w:br/>
        <w:t xml:space="preserve">                         upload commit</w:t>
        <w:br/>
        <w:t xml:space="preserve">                               │</w:t>
        <w:br/>
        <w:t xml:space="preserve">                               ▼</w:t>
        <w:br/>
        <w:t xml:space="preserve">                         PostgreSQL Job</w:t>
        <w:br/>
        <w:t xml:space="preserve">                               │</w:t>
        <w:br/>
        <w:t xml:space="preserve">                               ▼</w:t>
        <w:br/>
        <w:t xml:space="preserve">                              SQS</w:t>
        <w:br/>
        <w:t xml:space="preserve">                               │</w:t>
        <w:br/>
        <w:t xml:space="preserve">                               ▼</w:t>
        <w:br/>
        <w:t xml:space="preserve">                        Lambda Worker (V1)</w:t>
        <w:br/>
        <w:t xml:space="preserve">                               │</w:t>
        <w:br/>
        <w:t xml:space="preserve">                 BackgroundRemovalProvider</w:t>
        <w:br/>
        <w:t xml:space="preserve">                    ├─ remove.bg (V1)</w:t>
        <w:br/>
        <w:t xml:space="preserve">                    ├─ fal.ai BiRefNet v2</w:t>
        <w:br/>
        <w:t xml:space="preserve">                    └─ self-hosted BiRefNet</w:t>
        <w:br/>
        <w:t xml:space="preserve">                               │</w:t>
        <w:br/>
        <w:t xml:space="preserve">                               ▼</w:t>
        <w:br/>
        <w:t xml:space="preserve">                       processed image → S3</w:t>
        <w:br/>
        <w:t xml:space="preserve">                               │</w:t>
        <w:br/>
        <w:t xml:space="preserve">                               ▼</w:t>
        <w:br/>
        <w:t xml:space="preserve">                         PostgreSQL update</w:t>
        <w:br/>
        <w:t xml:space="preserve">                               │</w:t>
        <w:br/>
        <w:t xml:space="preserve">                               ▼</w:t>
        <w:br/>
        <w:t xml:space="preserve">                  Browser adaptive status polling</w:t>
      </w:r>
    </w:p>
    <w:p>
      <w:pPr>
        <w:pStyle w:val="Heading2"/>
      </w:pPr>
      <w:r>
        <w:t>3.1 Control plane vs data plane</w:t>
      </w:r>
    </w:p>
    <w:p>
      <w:pPr>
        <w:spacing w:after="80"/>
      </w:pPr>
      <w:r>
        <w:t>The control plane is Next.js + PostgreSQL: identity, authorization, vehicle metadata, upload intents, job lifecycle, usage, plan limits and signed URLs. The data plane is S3 + SQS + workers + processing providers: large image bytes and asynchronous compute. Keeping these planes separate prevents Vercel request duration and bandwidth from becoming the scaling boundary.</w:t>
      </w:r>
    </w:p>
    <w:p>
      <w:pPr>
        <w:pStyle w:val="Heading2"/>
      </w:pPr>
      <w:r>
        <w:t>3.2 Why SQS is mandatory</w:t>
      </w:r>
    </w:p>
    <w:p>
      <w:pPr>
        <w:spacing w:after="80"/>
      </w:pPr>
      <w:r>
        <w:t>SQS buffers bursts, decouples upload rate from processing rate, provides retry semantics, supports a dead-letter queue, and lets the consumer change from Lambda to a GPU worker without changing the product application. Worker concurrency must be explicitly capped according to provider rate limits and cost controls.</w:t>
      </w:r>
    </w:p>
    <w:p>
      <w:pPr>
        <w:pStyle w:val="Heading2"/>
      </w:pPr>
      <w:r>
        <w:t>3.3 Why polling is V1</w:t>
      </w:r>
    </w:p>
    <w:p>
      <w:pPr>
        <w:spacing w:after="80"/>
      </w:pPr>
      <w:r>
        <w:t>Job completion is asynchronous and relatively coarse-grained. Adaptive HTTP polling is simpler and more reliable on Vercel than maintaining persistent socket infrastructure. Poll only active jobs, back off over time, and stop immediately for terminal states. Introduce SSE/WebSockets only when the product requires sub-second multi-user live updates.</w:t>
      </w:r>
    </w:p>
    <w:p>
      <w:pPr>
        <w:pStyle w:val="Heading1"/>
      </w:pPr>
      <w:r>
        <w:t>4. Monorepo and Turborepo</w:t>
      </w:r>
    </w:p>
    <w:p>
      <w:pPr>
        <w:spacing w:after="100"/>
        <w:ind w:left="259"/>
      </w:pPr>
      <w:r>
        <w:rPr>
          <w:rFonts w:ascii="Consolas" w:hAnsi="Consolas"/>
          <w:sz w:val="16"/>
        </w:rPr>
        <w:t>/</w:t>
        <w:br/>
        <w:t>├─ apps/</w:t>
        <w:br/>
        <w:t>│  └─ web/                         # Next.js App Router application</w:t>
        <w:br/>
        <w:t>├─ workers/</w:t>
        <w:br/>
        <w:t>│  └─ image-processing/            # SQS consumer / Lambda package</w:t>
        <w:br/>
        <w:t>├─ packages/</w:t>
        <w:br/>
        <w:t>│  ├─ ui/                          # shared design primitives</w:t>
        <w:br/>
        <w:t>│  ├─ contracts/                   # Zod schemas + inferred TS types</w:t>
        <w:br/>
        <w:t>│  ├─ database/                    # Prisma schema/client/repositories</w:t>
        <w:br/>
        <w:t>│  ├─ processing/                  # provider port + adapters/shared DTOs</w:t>
        <w:br/>
        <w:t>│  ├─ observability/               # logger, correlation IDs, metrics helpers</w:t>
        <w:br/>
        <w:t>│  ├─ config/                      # eslint/tsconfig/tailwind presets</w:t>
        <w:br/>
        <w:t>│  └─ testing/                     # factories, mocks, test DB helpers</w:t>
        <w:br/>
        <w:t>├─ infrastructure/</w:t>
        <w:br/>
        <w:t>│  └─ aws/                         # IaC for S3/SQS/DLQ/Lambda/IAM/alarms</w:t>
        <w:br/>
        <w:t>├─ docs/</w:t>
        <w:br/>
        <w:t>│  └─ screens/</w:t>
        <w:br/>
        <w:t>├─ tests/                          # behavior tests mirroring source domains</w:t>
        <w:br/>
        <w:t>├─ turbo.json</w:t>
        <w:br/>
        <w:t>├─ pnpm-workspace.yaml</w:t>
        <w:br/>
        <w:t>└─ package.json</w:t>
      </w:r>
    </w:p>
    <w:p>
      <w:pPr>
        <w:spacing w:after="80"/>
      </w:pPr>
      <w:r>
        <w:t>Turborepo owns dependency-aware task orchestration and caching. pnpm owns dependency installation/workspaces. CI must use turbo filters so a change in packages/contracts invalidates dependent web/worker tasks while unrelated packages retain cacheability.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tcPr>
          <w:p>
            <w:r>
              <w:rPr>
                <w:b/>
              </w:rPr>
              <w:t>Task</w:t>
            </w:r>
          </w:p>
        </w:tc>
        <w:tc>
          <w:tcPr>
            <w:tcW w:type="dxa" w:w="3389"/>
            <w:shd w:fill="EDEDED"/>
          </w:tcPr>
          <w:p>
            <w:r>
              <w:rPr>
                <w:b/>
              </w:rPr>
              <w:t>Dependency rule</w:t>
            </w:r>
          </w:p>
        </w:tc>
        <w:tc>
          <w:tcPr>
            <w:tcW w:type="dxa" w:w="3389"/>
            <w:shd w:fill="EDEDED"/>
          </w:tcPr>
          <w:p>
            <w:r>
              <w:rPr>
                <w:b/>
              </w:rPr>
              <w:t>CI</w:t>
            </w:r>
          </w:p>
        </w:tc>
      </w:tr>
      <w:tr>
        <w:tc>
          <w:tcPr>
            <w:tcW w:type="dxa" w:w="3389"/>
            <w:vAlign w:val="top"/>
          </w:tcPr>
          <w:p>
            <w:r>
              <w:t>lint</w:t>
            </w:r>
          </w:p>
        </w:tc>
        <w:tc>
          <w:tcPr>
            <w:tcW w:type="dxa" w:w="3389"/>
            <w:vAlign w:val="top"/>
          </w:tcPr>
          <w:p>
            <w:r>
              <w:t>^lint</w:t>
            </w:r>
          </w:p>
        </w:tc>
        <w:tc>
          <w:tcPr>
            <w:tcW w:type="dxa" w:w="3389"/>
            <w:vAlign w:val="top"/>
          </w:tcPr>
          <w:p>
            <w:r>
              <w:t>Required</w:t>
            </w:r>
          </w:p>
        </w:tc>
      </w:tr>
      <w:tr>
        <w:tc>
          <w:tcPr>
            <w:tcW w:type="dxa" w:w="3389"/>
            <w:vAlign w:val="top"/>
          </w:tcPr>
          <w:p>
            <w:r>
              <w:t>typecheck</w:t>
            </w:r>
          </w:p>
        </w:tc>
        <w:tc>
          <w:tcPr>
            <w:tcW w:type="dxa" w:w="3389"/>
            <w:vAlign w:val="top"/>
          </w:tcPr>
          <w:p>
            <w:r>
              <w:t>^typecheck</w:t>
            </w:r>
          </w:p>
        </w:tc>
        <w:tc>
          <w:tcPr>
            <w:tcW w:type="dxa" w:w="3389"/>
            <w:vAlign w:val="top"/>
          </w:tcPr>
          <w:p>
            <w:r>
              <w:t>Required</w:t>
            </w:r>
          </w:p>
        </w:tc>
      </w:tr>
      <w:tr>
        <w:tc>
          <w:tcPr>
            <w:tcW w:type="dxa" w:w="3389"/>
            <w:vAlign w:val="top"/>
          </w:tcPr>
          <w:p>
            <w:r>
              <w:t>test</w:t>
            </w:r>
          </w:p>
        </w:tc>
        <w:tc>
          <w:tcPr>
            <w:tcW w:type="dxa" w:w="3389"/>
            <w:vAlign w:val="top"/>
          </w:tcPr>
          <w:p>
            <w:r>
              <w:t>^build where necessary</w:t>
            </w:r>
          </w:p>
        </w:tc>
        <w:tc>
          <w:tcPr>
            <w:tcW w:type="dxa" w:w="3389"/>
            <w:vAlign w:val="top"/>
          </w:tcPr>
          <w:p>
            <w:r>
              <w:t>Required</w:t>
            </w:r>
          </w:p>
        </w:tc>
      </w:tr>
      <w:tr>
        <w:tc>
          <w:tcPr>
            <w:tcW w:type="dxa" w:w="3389"/>
            <w:vAlign w:val="top"/>
          </w:tcPr>
          <w:p>
            <w:r>
              <w:t>test:integration</w:t>
            </w:r>
          </w:p>
        </w:tc>
        <w:tc>
          <w:tcPr>
            <w:tcW w:type="dxa" w:w="3389"/>
            <w:vAlign w:val="top"/>
          </w:tcPr>
          <w:p>
            <w:r>
              <w:t>database/services available</w:t>
            </w:r>
          </w:p>
        </w:tc>
        <w:tc>
          <w:tcPr>
            <w:tcW w:type="dxa" w:w="3389"/>
            <w:vAlign w:val="top"/>
          </w:tcPr>
          <w:p>
            <w:r>
              <w:t>Required</w:t>
            </w:r>
          </w:p>
        </w:tc>
      </w:tr>
      <w:tr>
        <w:tc>
          <w:tcPr>
            <w:tcW w:type="dxa" w:w="3389"/>
            <w:vAlign w:val="top"/>
          </w:tcPr>
          <w:p>
            <w:r>
              <w:t>build</w:t>
            </w:r>
          </w:p>
        </w:tc>
        <w:tc>
          <w:tcPr>
            <w:tcW w:type="dxa" w:w="3389"/>
            <w:vAlign w:val="top"/>
          </w:tcPr>
          <w:p>
            <w:r>
              <w:t>^build</w:t>
            </w:r>
          </w:p>
        </w:tc>
        <w:tc>
          <w:tcPr>
            <w:tcW w:type="dxa" w:w="3389"/>
            <w:vAlign w:val="top"/>
          </w:tcPr>
          <w:p>
            <w:r>
              <w:t>Required</w:t>
            </w:r>
          </w:p>
        </w:tc>
      </w:tr>
      <w:tr>
        <w:tc>
          <w:tcPr>
            <w:tcW w:type="dxa" w:w="3389"/>
            <w:vAlign w:val="top"/>
          </w:tcPr>
          <w:p>
            <w:r>
              <w:t>e2e</w:t>
            </w:r>
          </w:p>
        </w:tc>
        <w:tc>
          <w:tcPr>
            <w:tcW w:type="dxa" w:w="3389"/>
            <w:vAlign w:val="top"/>
          </w:tcPr>
          <w:p>
            <w:r>
              <w:t>web build + test environment</w:t>
            </w:r>
          </w:p>
        </w:tc>
        <w:tc>
          <w:tcPr>
            <w:tcW w:type="dxa" w:w="3389"/>
            <w:vAlign w:val="top"/>
          </w:tcPr>
          <w:p>
            <w:r>
              <w:t>Required</w:t>
            </w:r>
          </w:p>
        </w:tc>
      </w:tr>
    </w:tbl>
    <w:p/>
    <w:p>
      <w:pPr>
        <w:pStyle w:val="Heading1"/>
      </w:pPr>
      <w:r>
        <w:t>5. Next.js application architecture</w:t>
      </w:r>
    </w:p>
    <w:p>
      <w:pPr>
        <w:spacing w:after="80"/>
      </w:pPr>
      <w:r>
        <w:t>Use App Router. Prefer Server Components for data-heavy pages and Client Components only for interactive islands. Server Actions are appropriate for form-oriented mutations; Route Handlers are required where browser/API semantics are clearer, including presign, upload commit, polling, provider webhooks and auth callbacks.</w:t>
      </w:r>
    </w:p>
    <w:p>
      <w:pPr>
        <w:spacing w:after="100"/>
        <w:ind w:left="259"/>
      </w:pPr>
      <w:r>
        <w:rPr>
          <w:rFonts w:ascii="Consolas" w:hAnsi="Consolas"/>
          <w:sz w:val="16"/>
        </w:rPr>
        <w:t>apps/web/src/</w:t>
        <w:br/>
        <w:t>├─ app/</w:t>
        <w:br/>
        <w:t>│  ├─ (marketing)/</w:t>
        <w:br/>
        <w:t>│  ├─ (auth)/</w:t>
        <w:br/>
        <w:t>│  ├─ (app)/</w:t>
        <w:br/>
        <w:t>│  │  ├─ dashboard/</w:t>
        <w:br/>
        <w:t>│  │  ├─ inventory/</w:t>
        <w:br/>
        <w:t>│  │  ├─ inventory/[vehicleId]/</w:t>
        <w:br/>
        <w:t>│  │  └─ settings/{profile,billing}/</w:t>
        <w:br/>
        <w:t>│  └─ api/</w:t>
        <w:br/>
        <w:t>│     ├─ auth/</w:t>
        <w:br/>
        <w:t>│     ├─ uploads/</w:t>
        <w:br/>
        <w:t>│     ├─ jobs/</w:t>
        <w:br/>
        <w:t>│     ├─ images/</w:t>
        <w:br/>
        <w:t>│     ├─ usage/</w:t>
        <w:br/>
        <w:t>│     └─ webhooks/</w:t>
        <w:br/>
        <w:t>├─ components/</w:t>
        <w:br/>
        <w:t>├─ features/</w:t>
        <w:br/>
        <w:t>├─ server/</w:t>
        <w:br/>
        <w:t>│  ├─ auth/</w:t>
        <w:br/>
        <w:t>│  ├─ vehicles/</w:t>
        <w:br/>
        <w:t>│  ├─ uploads/</w:t>
        <w:br/>
        <w:t>│  ├─ jobs/</w:t>
        <w:br/>
        <w:t>│  ├─ usage/</w:t>
        <w:br/>
        <w:t>│  └─ email/</w:t>
        <w:br/>
        <w:t>├─ stores/</w:t>
        <w:br/>
        <w:t>└─ styles/</w:t>
      </w:r>
    </w:p>
    <w:p>
      <w:pPr>
        <w:spacing w:after="80"/>
      </w:pPr>
      <w:r>
        <w:t>React components must not import Prisma directly. Route handlers/server actions call application services, which call repositories/adapters. This keeps business rules independently testable and prevents UI refactors from changing persistence logic.</w:t>
      </w:r>
    </w:p>
    <w:p>
      <w:pPr>
        <w:pStyle w:val="Heading1"/>
      </w:pPr>
      <w:r>
        <w:t>6. Domain model and Prisma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tcPr>
          <w:p>
            <w:r>
              <w:rPr>
                <w:b/>
              </w:rPr>
              <w:t>Model</w:t>
            </w:r>
          </w:p>
        </w:tc>
        <w:tc>
          <w:tcPr>
            <w:tcW w:type="dxa" w:w="3389"/>
            <w:shd w:fill="EDEDED"/>
          </w:tcPr>
          <w:p>
            <w:r>
              <w:rPr>
                <w:b/>
              </w:rPr>
              <w:t>Purpose</w:t>
            </w:r>
          </w:p>
        </w:tc>
        <w:tc>
          <w:tcPr>
            <w:tcW w:type="dxa" w:w="3389"/>
            <w:shd w:fill="EDEDED"/>
          </w:tcPr>
          <w:p>
            <w:r>
              <w:rPr>
                <w:b/>
              </w:rPr>
              <w:t>Important fields / constraints</w:t>
            </w:r>
          </w:p>
        </w:tc>
      </w:tr>
      <w:tr>
        <w:tc>
          <w:tcPr>
            <w:tcW w:type="dxa" w:w="3389"/>
            <w:vAlign w:val="top"/>
          </w:tcPr>
          <w:p>
            <w:r>
              <w:t>User</w:t>
            </w:r>
          </w:p>
        </w:tc>
        <w:tc>
          <w:tcPr>
            <w:tcW w:type="dxa" w:w="3389"/>
            <w:vAlign w:val="top"/>
          </w:tcPr>
          <w:p>
            <w:r>
              <w:t>Canonical account</w:t>
            </w:r>
          </w:p>
        </w:tc>
        <w:tc>
          <w:tcPr>
            <w:tcW w:type="dxa" w:w="3389"/>
            <w:vAlign w:val="top"/>
          </w:tcPr>
          <w:p>
            <w:r>
              <w:t>id, displayName, email?, phone?, status, createdAt</w:t>
            </w:r>
          </w:p>
        </w:tc>
      </w:tr>
      <w:tr>
        <w:tc>
          <w:tcPr>
            <w:tcW w:type="dxa" w:w="3389"/>
            <w:vAlign w:val="top"/>
          </w:tcPr>
          <w:p>
            <w:r>
              <w:t>AuthIdentity</w:t>
            </w:r>
          </w:p>
        </w:tc>
        <w:tc>
          <w:tcPr>
            <w:tcW w:type="dxa" w:w="3389"/>
            <w:vAlign w:val="top"/>
          </w:tcPr>
          <w:p>
            <w:r>
              <w:t>Linked login identity</w:t>
            </w:r>
          </w:p>
        </w:tc>
        <w:tc>
          <w:tcPr>
            <w:tcW w:type="dxa" w:w="3389"/>
            <w:vAlign w:val="top"/>
          </w:tcPr>
          <w:p>
            <w:r>
              <w:t>userId, provider GOOGLE|PHONE, providerSubject, unique(provider,providerSubject)</w:t>
            </w:r>
          </w:p>
        </w:tc>
      </w:tr>
      <w:tr>
        <w:tc>
          <w:tcPr>
            <w:tcW w:type="dxa" w:w="3389"/>
            <w:vAlign w:val="top"/>
          </w:tcPr>
          <w:p>
            <w:r>
              <w:t>Session</w:t>
            </w:r>
          </w:p>
        </w:tc>
        <w:tc>
          <w:tcPr>
            <w:tcW w:type="dxa" w:w="3389"/>
            <w:vAlign w:val="top"/>
          </w:tcPr>
          <w:p>
            <w:r>
              <w:t>Opaque revocable session</w:t>
            </w:r>
          </w:p>
        </w:tc>
        <w:tc>
          <w:tcPr>
            <w:tcW w:type="dxa" w:w="3389"/>
            <w:vAlign w:val="top"/>
          </w:tcPr>
          <w:p>
            <w:r>
              <w:t>idHash, userId, expiresAt, lastSeenAt</w:t>
            </w:r>
          </w:p>
        </w:tc>
      </w:tr>
      <w:tr>
        <w:tc>
          <w:tcPr>
            <w:tcW w:type="dxa" w:w="3389"/>
            <w:vAlign w:val="top"/>
          </w:tcPr>
          <w:p>
            <w:r>
              <w:t>Vehicle</w:t>
            </w:r>
          </w:p>
        </w:tc>
        <w:tc>
          <w:tcPr>
            <w:tcW w:type="dxa" w:w="3389"/>
            <w:vAlign w:val="top"/>
          </w:tcPr>
          <w:p>
            <w:r>
              <w:t>Inventory aggregate</w:t>
            </w:r>
          </w:p>
        </w:tc>
        <w:tc>
          <w:tcPr>
            <w:tcW w:type="dxa" w:w="3389"/>
            <w:vAlign w:val="top"/>
          </w:tcPr>
          <w:p>
            <w:r>
              <w:t>id, userId, make, model, year, trim, color?, status, createdAt</w:t>
            </w:r>
          </w:p>
        </w:tc>
      </w:tr>
      <w:tr>
        <w:tc>
          <w:tcPr>
            <w:tcW w:type="dxa" w:w="3389"/>
            <w:vAlign w:val="top"/>
          </w:tcPr>
          <w:p>
            <w:r>
              <w:t>ImageAsset</w:t>
            </w:r>
          </w:p>
        </w:tc>
        <w:tc>
          <w:tcPr>
            <w:tcW w:type="dxa" w:w="3389"/>
            <w:vAlign w:val="top"/>
          </w:tcPr>
          <w:p>
            <w:r>
              <w:t>Stored logical image</w:t>
            </w:r>
          </w:p>
        </w:tc>
        <w:tc>
          <w:tcPr>
            <w:tcW w:type="dxa" w:w="3389"/>
            <w:vAlign w:val="top"/>
          </w:tcPr>
          <w:p>
            <w:r>
              <w:t>id, vehicleId, ownerId, originalKey, mimeType, bytes, checksum, width?, height?</w:t>
            </w:r>
          </w:p>
        </w:tc>
      </w:tr>
      <w:tr>
        <w:tc>
          <w:tcPr>
            <w:tcW w:type="dxa" w:w="3389"/>
            <w:vAlign w:val="top"/>
          </w:tcPr>
          <w:p>
            <w:r>
              <w:t>ProcessingJob</w:t>
            </w:r>
          </w:p>
        </w:tc>
        <w:tc>
          <w:tcPr>
            <w:tcW w:type="dxa" w:w="3389"/>
            <w:vAlign w:val="top"/>
          </w:tcPr>
          <w:p>
            <w:r>
              <w:t>One requested transformation</w:t>
            </w:r>
          </w:p>
        </w:tc>
        <w:tc>
          <w:tcPr>
            <w:tcW w:type="dxa" w:w="3389"/>
            <w:vAlign w:val="top"/>
          </w:tcPr>
          <w:p>
            <w:r>
              <w:t>id, assetId, userId, provider, status, optionsJson, attemptCount, timestamps</w:t>
            </w:r>
          </w:p>
        </w:tc>
      </w:tr>
      <w:tr>
        <w:tc>
          <w:tcPr>
            <w:tcW w:type="dxa" w:w="3389"/>
            <w:vAlign w:val="top"/>
          </w:tcPr>
          <w:p>
            <w:r>
              <w:t>ProcessingAttempt</w:t>
            </w:r>
          </w:p>
        </w:tc>
        <w:tc>
          <w:tcPr>
            <w:tcW w:type="dxa" w:w="3389"/>
            <w:vAlign w:val="top"/>
          </w:tcPr>
          <w:p>
            <w:r>
              <w:t>Per-attempt diagnostics</w:t>
            </w:r>
          </w:p>
        </w:tc>
        <w:tc>
          <w:tcPr>
            <w:tcW w:type="dxa" w:w="3389"/>
            <w:vAlign w:val="top"/>
          </w:tcPr>
          <w:p>
            <w:r>
              <w:t>jobId, attemptNo, providerRequestId, startedAt, endedAt, errorCode</w:t>
            </w:r>
          </w:p>
        </w:tc>
      </w:tr>
      <w:tr>
        <w:tc>
          <w:tcPr>
            <w:tcW w:type="dxa" w:w="3389"/>
            <w:vAlign w:val="top"/>
          </w:tcPr>
          <w:p>
            <w:r>
              <w:t>ProcessedAsset</w:t>
            </w:r>
          </w:p>
        </w:tc>
        <w:tc>
          <w:tcPr>
            <w:tcW w:type="dxa" w:w="3389"/>
            <w:vAlign w:val="top"/>
          </w:tcPr>
          <w:p>
            <w:r>
              <w:t>Output artifact</w:t>
            </w:r>
          </w:p>
        </w:tc>
        <w:tc>
          <w:tcPr>
            <w:tcW w:type="dxa" w:w="3389"/>
            <w:vAlign w:val="top"/>
          </w:tcPr>
          <w:p>
            <w:r>
              <w:t>jobId, objectKey, mimeType, bytes, width, height, variant</w:t>
            </w:r>
          </w:p>
        </w:tc>
      </w:tr>
      <w:tr>
        <w:tc>
          <w:tcPr>
            <w:tcW w:type="dxa" w:w="3389"/>
            <w:vAlign w:val="top"/>
          </w:tcPr>
          <w:p>
            <w:r>
              <w:t>UsageEvent</w:t>
            </w:r>
          </w:p>
        </w:tc>
        <w:tc>
          <w:tcPr>
            <w:tcW w:type="dxa" w:w="3389"/>
            <w:vAlign w:val="top"/>
          </w:tcPr>
          <w:p>
            <w:r>
              <w:t>Immutable metering event</w:t>
            </w:r>
          </w:p>
        </w:tc>
        <w:tc>
          <w:tcPr>
            <w:tcW w:type="dxa" w:w="3389"/>
            <w:vAlign w:val="top"/>
          </w:tcPr>
          <w:p>
            <w:r>
              <w:t>userId, jobId?, type, quantity, billingPeriodKey; unique event key</w:t>
            </w:r>
          </w:p>
        </w:tc>
      </w:tr>
      <w:tr>
        <w:tc>
          <w:tcPr>
            <w:tcW w:type="dxa" w:w="3389"/>
            <w:vAlign w:val="top"/>
          </w:tcPr>
          <w:p>
            <w:r>
              <w:t>PlanSubscription</w:t>
            </w:r>
          </w:p>
        </w:tc>
        <w:tc>
          <w:tcPr>
            <w:tcW w:type="dxa" w:w="3389"/>
            <w:vAlign w:val="top"/>
          </w:tcPr>
          <w:p>
            <w:r>
              <w:t>Entitlement snapshot/reference</w:t>
            </w:r>
          </w:p>
        </w:tc>
        <w:tc>
          <w:tcPr>
            <w:tcW w:type="dxa" w:w="3389"/>
            <w:vAlign w:val="top"/>
          </w:tcPr>
          <w:p>
            <w:r>
              <w:t>userId, planCode, status, periodStart, periodEnd</w:t>
            </w:r>
          </w:p>
        </w:tc>
      </w:tr>
      <w:tr>
        <w:tc>
          <w:tcPr>
            <w:tcW w:type="dxa" w:w="3389"/>
            <w:vAlign w:val="top"/>
          </w:tcPr>
          <w:p>
            <w:r>
              <w:t>WebhookEvent</w:t>
            </w:r>
          </w:p>
        </w:tc>
        <w:tc>
          <w:tcPr>
            <w:tcW w:type="dxa" w:w="3389"/>
            <w:vAlign w:val="top"/>
          </w:tcPr>
          <w:p>
            <w:r>
              <w:t>Idempotent inbound event log</w:t>
            </w:r>
          </w:p>
        </w:tc>
        <w:tc>
          <w:tcPr>
            <w:tcW w:type="dxa" w:w="3389"/>
            <w:vAlign w:val="top"/>
          </w:tcPr>
          <w:p>
            <w:r>
              <w:t>provider, externalId unique, receivedAt, processedAt</w:t>
            </w:r>
          </w:p>
        </w:tc>
      </w:tr>
      <w:tr>
        <w:tc>
          <w:tcPr>
            <w:tcW w:type="dxa" w:w="3389"/>
            <w:vAlign w:val="top"/>
          </w:tcPr>
          <w:p>
            <w:r>
              <w:t>AuditLog</w:t>
            </w:r>
          </w:p>
        </w:tc>
        <w:tc>
          <w:tcPr>
            <w:tcW w:type="dxa" w:w="3389"/>
            <w:vAlign w:val="top"/>
          </w:tcPr>
          <w:p>
            <w:r>
              <w:t>Security/business audit</w:t>
            </w:r>
          </w:p>
        </w:tc>
        <w:tc>
          <w:tcPr>
            <w:tcW w:type="dxa" w:w="3389"/>
            <w:vAlign w:val="top"/>
          </w:tcPr>
          <w:p>
            <w:r>
              <w:t>actorUserId?, action, entityType, entityId, metadata</w:t>
            </w:r>
          </w:p>
        </w:tc>
      </w:tr>
    </w:tbl>
    <w:p/>
    <w:p>
      <w:pPr>
        <w:pStyle w:val="Heading2"/>
      </w:pPr>
      <w:r>
        <w:t>6.1 Critical indexes</w:t>
      </w:r>
    </w:p>
    <w:p>
      <w:pPr>
        <w:pStyle w:val="ListBullet"/>
        <w:spacing w:after="20"/>
      </w:pPr>
      <w:r>
        <w:t>ProcessingJob(userId, status, createdAt DESC) for dashboard and polling.</w:t>
      </w:r>
    </w:p>
    <w:p>
      <w:pPr>
        <w:pStyle w:val="ListBullet"/>
        <w:spacing w:after="20"/>
      </w:pPr>
      <w:r>
        <w:t>Vehicle(userId, createdAt DESC) and Vehicle(userId, status, createdAt DESC).</w:t>
      </w:r>
    </w:p>
    <w:p>
      <w:pPr>
        <w:pStyle w:val="ListBullet"/>
        <w:spacing w:after="20"/>
      </w:pPr>
      <w:r>
        <w:t>ImageAsset(vehicleId, createdAt) and ProcessedAsset(jobId, variant).</w:t>
      </w:r>
    </w:p>
    <w:p>
      <w:pPr>
        <w:pStyle w:val="ListBullet"/>
        <w:spacing w:after="20"/>
      </w:pPr>
      <w:r>
        <w:t>UsageEvent(userId, billingPeriodKey, type) for billing summaries.</w:t>
      </w:r>
    </w:p>
    <w:p>
      <w:pPr>
        <w:pStyle w:val="ListBullet"/>
        <w:spacing w:after="20"/>
      </w:pPr>
      <w:r>
        <w:t>Session(userId, expiresAt) and unique session token hash.</w:t>
      </w:r>
    </w:p>
    <w:p>
      <w:pPr>
        <w:pStyle w:val="ListBullet"/>
        <w:spacing w:after="20"/>
      </w:pPr>
      <w:r>
        <w:t>WebhookEvent(provider, externalId) unique for idempotency.</w:t>
      </w:r>
    </w:p>
    <w:p>
      <w:pPr>
        <w:pStyle w:val="Heading2"/>
      </w:pPr>
      <w:r>
        <w:t>6.2 Transaction boundaries</w:t>
      </w:r>
    </w:p>
    <w:p>
      <w:pPr>
        <w:spacing w:after="80"/>
      </w:pPr>
      <w:r>
        <w:t>Completing a job must atomically transition the job to COMPLETED and create the corresponding UsageEvent. A retry or duplicate queue delivery must not create a second charge. Use conditional updates/unique event keys to guarantee exactly-once business effects over at-least-once transport.</w:t>
      </w:r>
    </w:p>
    <w:p>
      <w:pPr>
        <w:pStyle w:val="Heading1"/>
      </w:pPr>
      <w:r>
        <w:t>7. Validation and contracts</w:t>
      </w:r>
    </w:p>
    <w:p>
      <w:pPr>
        <w:spacing w:after="80"/>
      </w:pPr>
      <w:r>
        <w:t>Zod schemas in packages/contracts are the canonical boundary definitions. Infer TypeScript types from schemas; do not manually duplicate DTO types. Validate all untrusted input: forms, route params, query strings, JSON bodies, environment variables, MSG91 callbacks, provider webhooks and worker messages.</w:t>
      </w:r>
    </w:p>
    <w:tbl>
      <w:tblPr>
        <w:tblStyle w:val="TableGrid"/>
        <w:tblW w:type="auto" w:w="0"/>
        <w:jc w:val="center"/>
        <w:tblLook w:firstColumn="1" w:firstRow="1" w:lastColumn="0" w:lastRow="0" w:noHBand="0" w:noVBand="1" w:val="04A0"/>
      </w:tblPr>
      <w:tblGrid>
        <w:gridCol w:w="5083"/>
        <w:gridCol w:w="5083"/>
      </w:tblGrid>
      <w:tr>
        <w:tc>
          <w:tcPr>
            <w:tcW w:type="dxa" w:w="5083"/>
            <w:shd w:fill="EDEDED"/>
          </w:tcPr>
          <w:p>
            <w:r>
              <w:rPr>
                <w:b/>
              </w:rPr>
              <w:t>Contract</w:t>
            </w:r>
          </w:p>
        </w:tc>
        <w:tc>
          <w:tcPr>
            <w:tcW w:type="dxa" w:w="5083"/>
            <w:shd w:fill="EDEDED"/>
          </w:tcPr>
          <w:p>
            <w:r>
              <w:rPr>
                <w:b/>
              </w:rPr>
              <w:t>Representative validation</w:t>
            </w:r>
          </w:p>
        </w:tc>
      </w:tr>
      <w:tr>
        <w:tc>
          <w:tcPr>
            <w:tcW w:type="dxa" w:w="5083"/>
            <w:vAlign w:val="top"/>
          </w:tcPr>
          <w:p>
            <w:r>
              <w:t>CreateVehicle</w:t>
            </w:r>
          </w:p>
        </w:tc>
        <w:tc>
          <w:tcPr>
            <w:tcW w:type="dxa" w:w="5083"/>
            <w:vAlign w:val="top"/>
          </w:tcPr>
          <w:p>
            <w:r>
              <w:t>make/model/trim length, year range, allowed enum values</w:t>
            </w:r>
          </w:p>
        </w:tc>
      </w:tr>
      <w:tr>
        <w:tc>
          <w:tcPr>
            <w:tcW w:type="dxa" w:w="5083"/>
            <w:vAlign w:val="top"/>
          </w:tcPr>
          <w:p>
            <w:r>
              <w:t>CreateUploadIntent</w:t>
            </w:r>
          </w:p>
        </w:tc>
        <w:tc>
          <w:tcPr>
            <w:tcW w:type="dxa" w:w="5083"/>
            <w:vAlign w:val="top"/>
          </w:tcPr>
          <w:p>
            <w:r>
              <w:t>vehicleId UUID, filename, MIME allowlist, bytes &lt;= configured max</w:t>
            </w:r>
          </w:p>
        </w:tc>
      </w:tr>
      <w:tr>
        <w:tc>
          <w:tcPr>
            <w:tcW w:type="dxa" w:w="5083"/>
            <w:vAlign w:val="top"/>
          </w:tcPr>
          <w:p>
            <w:r>
              <w:t>CommitUpload</w:t>
            </w:r>
          </w:p>
        </w:tc>
        <w:tc>
          <w:tcPr>
            <w:tcW w:type="dxa" w:w="5083"/>
            <w:vAlign w:val="top"/>
          </w:tcPr>
          <w:p>
            <w:r>
              <w:t>assetId, objectKey ownership, checksum/ETag where available</w:t>
            </w:r>
          </w:p>
        </w:tc>
      </w:tr>
      <w:tr>
        <w:tc>
          <w:tcPr>
            <w:tcW w:type="dxa" w:w="5083"/>
            <w:vAlign w:val="top"/>
          </w:tcPr>
          <w:p>
            <w:r>
              <w:t>ProcessingOptions</w:t>
            </w:r>
          </w:p>
        </w:tc>
        <w:tc>
          <w:tcPr>
            <w:tcW w:type="dxa" w:w="5083"/>
            <w:vAlign w:val="top"/>
          </w:tcPr>
          <w:p>
            <w:r>
              <w:t>background mode, shadow, crop/padding, output format/quality</w:t>
            </w:r>
          </w:p>
        </w:tc>
      </w:tr>
      <w:tr>
        <w:tc>
          <w:tcPr>
            <w:tcW w:type="dxa" w:w="5083"/>
            <w:vAlign w:val="top"/>
          </w:tcPr>
          <w:p>
            <w:r>
              <w:t>JobStatus</w:t>
            </w:r>
          </w:p>
        </w:tc>
        <w:tc>
          <w:tcPr>
            <w:tcW w:type="dxa" w:w="5083"/>
            <w:vAlign w:val="top"/>
          </w:tcPr>
          <w:p>
            <w:r>
              <w:t>strict status enum + terminal/result/error fields</w:t>
            </w:r>
          </w:p>
        </w:tc>
      </w:tr>
      <w:tr>
        <w:tc>
          <w:tcPr>
            <w:tcW w:type="dxa" w:w="5083"/>
            <w:vAlign w:val="top"/>
          </w:tcPr>
          <w:p>
            <w:r>
              <w:t>PhoneStart</w:t>
            </w:r>
          </w:p>
        </w:tc>
        <w:tc>
          <w:tcPr>
            <w:tcW w:type="dxa" w:w="5083"/>
            <w:vAlign w:val="top"/>
          </w:tcPr>
          <w:p>
            <w:r>
              <w:t>E.164 normalized Indian phone number</w:t>
            </w:r>
          </w:p>
        </w:tc>
      </w:tr>
      <w:tr>
        <w:tc>
          <w:tcPr>
            <w:tcW w:type="dxa" w:w="5083"/>
            <w:vAlign w:val="top"/>
          </w:tcPr>
          <w:p>
            <w:r>
              <w:t>PhoneVerify</w:t>
            </w:r>
          </w:p>
        </w:tc>
        <w:tc>
          <w:tcPr>
            <w:tcW w:type="dxa" w:w="5083"/>
            <w:vAlign w:val="top"/>
          </w:tcPr>
          <w:p>
            <w:r>
              <w:t>challengeId + bounded OTP string</w:t>
            </w:r>
          </w:p>
        </w:tc>
      </w:tr>
    </w:tbl>
    <w:p/>
    <w:p>
      <w:pPr>
        <w:pStyle w:val="Heading1"/>
      </w:pPr>
      <w:r>
        <w:t>8. Authentication and authorization</w:t>
      </w:r>
    </w:p>
    <w:p>
      <w:pPr>
        <w:pStyle w:val="Heading2"/>
      </w:pPr>
      <w:r>
        <w:t>8.1 Google OAuth</w:t>
      </w:r>
    </w:p>
    <w:p>
      <w:pPr>
        <w:spacing w:after="80"/>
      </w:pPr>
      <w:r>
        <w:t>Use Authorization Code flow with PKCE, state and OIDC nonce. Verify issuer, audience, expiry, nonce and email verification where required. Store provider subject as the durable identity key; email is profile data, not the identity primary key.</w:t>
      </w:r>
    </w:p>
    <w:p>
      <w:pPr>
        <w:pStyle w:val="Heading2"/>
      </w:pPr>
      <w:r>
        <w:t>8.2 MSG91 phone OTP</w:t>
      </w:r>
    </w:p>
    <w:p>
      <w:pPr>
        <w:spacing w:after="80"/>
      </w:pPr>
      <w:r>
        <w:t>Normalize to E.164 before requesting OTP. The browser never receives MSG91 credentials. Rate-limit both send and verify endpoints by normalized phone, user/session where known, and IP risk signal. Do not persist raw OTP values. Successful verification creates or links a PHONE AuthIdentity and issues the same application session model used by Google.</w:t>
      </w:r>
    </w:p>
    <w:p>
      <w:pPr>
        <w:pStyle w:val="Heading2"/>
      </w:pPr>
      <w:r>
        <w:t>8.3 Session model</w:t>
      </w:r>
    </w:p>
    <w:p>
      <w:pPr>
        <w:spacing w:after="80"/>
      </w:pPr>
      <w:r>
        <w:t>Use an opaque, high-entropy session cookie. Persist only a hash of the token. Cookie settings: HttpOnly, Secure in production, SameSite=Lax unless a stricter compatible setting is proven, scoped Path=/, and explicit expiry. Rotate session identifiers after authentication and sensitive account changes.</w:t>
      </w:r>
    </w:p>
    <w:p>
      <w:pPr>
        <w:pStyle w:val="Heading2"/>
      </w:pPr>
      <w:r>
        <w:t>8.4 Authorization rule</w:t>
      </w:r>
    </w:p>
    <w:p>
      <w:pPr>
        <w:spacing w:after="80"/>
      </w:pPr>
      <w:r>
        <w:t>Every asset, vehicle, job, usage record and signed URL is tenant-scoped. Never authorize solely because a UUID exists. Repository/service methods must include userId ownership predicates.</w:t>
      </w:r>
    </w:p>
    <w:p>
      <w:pPr>
        <w:pStyle w:val="Heading1"/>
      </w:pPr>
      <w:r>
        <w:t>9. Upload architecture</w:t>
      </w:r>
    </w:p>
    <w:p>
      <w:pPr>
        <w:pStyle w:val="ListNumber"/>
        <w:spacing w:after="20"/>
      </w:pPr>
      <w:r>
        <w:t>Client requests POST /api/uploads/presign with vehicleId, filename, MIME type and byte size.</w:t>
      </w:r>
    </w:p>
    <w:p>
      <w:pPr>
        <w:pStyle w:val="ListNumber"/>
        <w:spacing w:after="20"/>
      </w:pPr>
      <w:r>
        <w:t>Server authenticates, checks plan/storage limits, validates metadata and creates ImageAsset in PENDING_UPLOAD state.</w:t>
      </w:r>
    </w:p>
    <w:p>
      <w:pPr>
        <w:pStyle w:val="ListNumber"/>
        <w:spacing w:after="20"/>
      </w:pPr>
      <w:r>
        <w:t>Server returns a short-lived presigned PUT restricted to the exact private S3 object key and content type.</w:t>
      </w:r>
    </w:p>
    <w:p>
      <w:pPr>
        <w:pStyle w:val="ListNumber"/>
        <w:spacing w:after="20"/>
      </w:pPr>
      <w:r>
        <w:t>Browser uploads directly to S3 and shows byte-level upload progress locally.</w:t>
      </w:r>
    </w:p>
    <w:p>
      <w:pPr>
        <w:pStyle w:val="ListNumber"/>
        <w:spacing w:after="20"/>
      </w:pPr>
      <w:r>
        <w:t>Client calls POST /api/uploads/{assetId}/commit.</w:t>
      </w:r>
    </w:p>
    <w:p>
      <w:pPr>
        <w:pStyle w:val="ListNumber"/>
        <w:spacing w:after="20"/>
      </w:pPr>
      <w:r>
        <w:t>Server HEADs the object, verifies expected key/size/content type/checksum policy, transitions asset to UPLOADED and creates processing jobs only when requested.</w:t>
      </w:r>
    </w:p>
    <w:p>
      <w:pPr>
        <w:pStyle w:val="ListNumber"/>
        <w:spacing w:after="20"/>
      </w:pPr>
      <w:r>
        <w:t>Queue publication uses an outbox-equivalent reliable pattern or a transactionally recoverable QUEUED state so a DB commit cannot permanently lose work if SQS publication fails.</w:t>
      </w:r>
    </w:p>
    <w:p>
      <w:pPr>
        <w:pStyle w:val="Heading2"/>
      </w:pPr>
      <w:r>
        <w:t>9.1 S3 key strategy</w:t>
      </w:r>
    </w:p>
    <w:p>
      <w:pPr>
        <w:spacing w:after="100"/>
        <w:ind w:left="259"/>
      </w:pPr>
      <w:r>
        <w:rPr>
          <w:rFonts w:ascii="Consolas" w:hAnsi="Consolas"/>
          <w:sz w:val="16"/>
        </w:rPr>
        <w:t>users/{userId}/vehicles/{vehicleId}/assets/{assetId}/original/source.{ext}</w:t>
        <w:br/>
        <w:t>users/{userId}/vehicles/{vehicleId}/assets/{assetId}/jobs/{jobId}/processed.png</w:t>
        <w:br/>
        <w:t>users/{userId}/vehicles/{vehicleId}/assets/{assetId}/jobs/{jobId}/preview.webp</w:t>
      </w:r>
    </w:p>
    <w:p>
      <w:pPr>
        <w:spacing w:after="80"/>
      </w:pPr>
      <w:r>
        <w:t>Persist object keys, not public URLs. The bucket is private. Generate short-lived presigned GET URLs for authenticated private viewing. If public portfolio delivery is later required, add an explicit publish layer/CDN rather than changing private originals.</w:t>
      </w:r>
    </w:p>
    <w:p>
      <w:pPr>
        <w:pStyle w:val="Heading2"/>
      </w:pPr>
      <w:r>
        <w:t>9.2 Upload security</w:t>
      </w:r>
    </w:p>
    <w:p>
      <w:pPr>
        <w:pStyle w:val="ListBullet"/>
        <w:spacing w:after="20"/>
      </w:pPr>
      <w:r>
        <w:t>Allowlist JPEG/PNG/WebP initially; validate magic bytes in the worker, not only browser MIME.</w:t>
      </w:r>
    </w:p>
    <w:p>
      <w:pPr>
        <w:pStyle w:val="ListBullet"/>
        <w:spacing w:after="20"/>
      </w:pPr>
      <w:r>
        <w:t>Configure maximum object size and image pixel dimensions to mitigate decompression bombs.</w:t>
      </w:r>
    </w:p>
    <w:p>
      <w:pPr>
        <w:pStyle w:val="ListBullet"/>
        <w:spacing w:after="20"/>
      </w:pPr>
      <w:r>
        <w:t>Strip or intentionally preserve EXIF according to product policy; default processed outputs should remove unnecessary metadata.</w:t>
      </w:r>
    </w:p>
    <w:p>
      <w:pPr>
        <w:pStyle w:val="ListBullet"/>
        <w:spacing w:after="20"/>
      </w:pPr>
      <w:r>
        <w:t>Use bucket encryption, block public access, least-privilege IAM and lifecycle rules for abandoned uploads/temp artifacts.</w:t>
      </w:r>
    </w:p>
    <w:p>
      <w:pPr>
        <w:pStyle w:val="Heading1"/>
      </w:pPr>
      <w:r>
        <w:t>10. Asynchronous processing pipeline</w:t>
      </w:r>
    </w:p>
    <w:p>
      <w:pPr>
        <w:spacing w:after="100"/>
        <w:ind w:left="259"/>
      </w:pPr>
      <w:r>
        <w:rPr>
          <w:rFonts w:ascii="Consolas" w:hAnsi="Consolas"/>
          <w:sz w:val="16"/>
        </w:rPr>
        <w:t>COMMITTED asset</w:t>
        <w:br/>
        <w:t xml:space="preserve">   ↓</w:t>
        <w:br/>
        <w:t>ProcessingJob: QUEUED</w:t>
        <w:br/>
        <w:t xml:space="preserve">   ↓</w:t>
        <w:br/>
        <w:t>SQS message {jobId}</w:t>
        <w:br/>
        <w:t xml:space="preserve">   ↓</w:t>
        <w:br/>
        <w:t>worker claims job atomically</w:t>
        <w:br/>
        <w:t xml:space="preserve">   ↓</w:t>
        <w:br/>
        <w:t>PROCESSING</w:t>
        <w:br/>
        <w:t xml:space="preserve">   ↓</w:t>
        <w:br/>
        <w:t>download/read original from S3</w:t>
        <w:br/>
        <w:t xml:space="preserve">   ↓</w:t>
        <w:br/>
        <w:t>BackgroundRemovalProvider.process()</w:t>
        <w:br/>
        <w:t xml:space="preserve">   ↓</w:t>
        <w:br/>
        <w:t>validate output</w:t>
        <w:br/>
        <w:t xml:space="preserve">   ↓</w:t>
        <w:br/>
        <w:t>write immutable processed object to S3</w:t>
        <w:br/>
        <w:t xml:space="preserve">   ↓</w:t>
        <w:br/>
        <w:t>DB transaction:</w:t>
        <w:br/>
        <w:t xml:space="preserve">  Job → COMPLETED</w:t>
        <w:br/>
        <w:t xml:space="preserve">  ProcessedAsset → create</w:t>
        <w:br/>
        <w:t xml:space="preserve">  UsageEvent → create once</w:t>
        <w:br/>
        <w:t xml:space="preserve">   ↓</w:t>
        <w:br/>
        <w:t>UI polling observes terminal state</w:t>
      </w:r>
    </w:p>
    <w:p>
      <w:pPr>
        <w:pStyle w:val="Heading2"/>
      </w:pPr>
      <w:r>
        <w:t>10.1 State machine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tcPr>
          <w:p>
            <w:r>
              <w:rPr>
                <w:b/>
              </w:rPr>
              <w:t>State</w:t>
            </w:r>
          </w:p>
        </w:tc>
        <w:tc>
          <w:tcPr>
            <w:tcW w:type="dxa" w:w="3389"/>
            <w:shd w:fill="EDEDED"/>
          </w:tcPr>
          <w:p>
            <w:r>
              <w:rPr>
                <w:b/>
              </w:rPr>
              <w:t>Meaning</w:t>
            </w:r>
          </w:p>
        </w:tc>
        <w:tc>
          <w:tcPr>
            <w:tcW w:type="dxa" w:w="3389"/>
            <w:shd w:fill="EDEDED"/>
          </w:tcPr>
          <w:p>
            <w:r>
              <w:rPr>
                <w:b/>
              </w:rPr>
              <w:t>Allowed next</w:t>
            </w:r>
          </w:p>
        </w:tc>
      </w:tr>
      <w:tr>
        <w:tc>
          <w:tcPr>
            <w:tcW w:type="dxa" w:w="3389"/>
            <w:vAlign w:val="top"/>
          </w:tcPr>
          <w:p>
            <w:r>
              <w:t>CREATED</w:t>
            </w:r>
          </w:p>
        </w:tc>
        <w:tc>
          <w:tcPr>
            <w:tcW w:type="dxa" w:w="3389"/>
            <w:vAlign w:val="top"/>
          </w:tcPr>
          <w:p>
            <w:r>
              <w:t>Job record exists but not queued</w:t>
            </w:r>
          </w:p>
        </w:tc>
        <w:tc>
          <w:tcPr>
            <w:tcW w:type="dxa" w:w="3389"/>
            <w:vAlign w:val="top"/>
          </w:tcPr>
          <w:p>
            <w:r>
              <w:t>QUEUED, CANCELLED</w:t>
            </w:r>
          </w:p>
        </w:tc>
      </w:tr>
      <w:tr>
        <w:tc>
          <w:tcPr>
            <w:tcW w:type="dxa" w:w="3389"/>
            <w:vAlign w:val="top"/>
          </w:tcPr>
          <w:p>
            <w:r>
              <w:t>QUEUED</w:t>
            </w:r>
          </w:p>
        </w:tc>
        <w:tc>
          <w:tcPr>
            <w:tcW w:type="dxa" w:w="3389"/>
            <w:vAlign w:val="top"/>
          </w:tcPr>
          <w:p>
            <w:r>
              <w:t>Durably scheduled</w:t>
            </w:r>
          </w:p>
        </w:tc>
        <w:tc>
          <w:tcPr>
            <w:tcW w:type="dxa" w:w="3389"/>
            <w:vAlign w:val="top"/>
          </w:tcPr>
          <w:p>
            <w:r>
              <w:t>PROCESSING, CANCELLED</w:t>
            </w:r>
          </w:p>
        </w:tc>
      </w:tr>
      <w:tr>
        <w:tc>
          <w:tcPr>
            <w:tcW w:type="dxa" w:w="3389"/>
            <w:vAlign w:val="top"/>
          </w:tcPr>
          <w:p>
            <w:r>
              <w:t>PROCESSING</w:t>
            </w:r>
          </w:p>
        </w:tc>
        <w:tc>
          <w:tcPr>
            <w:tcW w:type="dxa" w:w="3389"/>
            <w:vAlign w:val="top"/>
          </w:tcPr>
          <w:p>
            <w:r>
              <w:t>Claimed by worker</w:t>
            </w:r>
          </w:p>
        </w:tc>
        <w:tc>
          <w:tcPr>
            <w:tcW w:type="dxa" w:w="3389"/>
            <w:vAlign w:val="top"/>
          </w:tcPr>
          <w:p>
            <w:r>
              <w:t>COMPLETED, RETRYING, FAILED</w:t>
            </w:r>
          </w:p>
        </w:tc>
      </w:tr>
      <w:tr>
        <w:tc>
          <w:tcPr>
            <w:tcW w:type="dxa" w:w="3389"/>
            <w:vAlign w:val="top"/>
          </w:tcPr>
          <w:p>
            <w:r>
              <w:t>RETRYING</w:t>
            </w:r>
          </w:p>
        </w:tc>
        <w:tc>
          <w:tcPr>
            <w:tcW w:type="dxa" w:w="3389"/>
            <w:vAlign w:val="top"/>
          </w:tcPr>
          <w:p>
            <w:r>
              <w:t>Retryable failure recorded</w:t>
            </w:r>
          </w:p>
        </w:tc>
        <w:tc>
          <w:tcPr>
            <w:tcW w:type="dxa" w:w="3389"/>
            <w:vAlign w:val="top"/>
          </w:tcPr>
          <w:p>
            <w:r>
              <w:t>QUEUED, FAILED</w:t>
            </w:r>
          </w:p>
        </w:tc>
      </w:tr>
      <w:tr>
        <w:tc>
          <w:tcPr>
            <w:tcW w:type="dxa" w:w="3389"/>
            <w:vAlign w:val="top"/>
          </w:tcPr>
          <w:p>
            <w:r>
              <w:t>COMPLETED</w:t>
            </w:r>
          </w:p>
        </w:tc>
        <w:tc>
          <w:tcPr>
            <w:tcW w:type="dxa" w:w="3389"/>
            <w:vAlign w:val="top"/>
          </w:tcPr>
          <w:p>
            <w:r>
              <w:t>Output persisted and metered</w:t>
            </w:r>
          </w:p>
        </w:tc>
        <w:tc>
          <w:tcPr>
            <w:tcW w:type="dxa" w:w="3389"/>
            <w:vAlign w:val="top"/>
          </w:tcPr>
          <w:p>
            <w:r>
              <w:t>terminal</w:t>
            </w:r>
          </w:p>
        </w:tc>
      </w:tr>
      <w:tr>
        <w:tc>
          <w:tcPr>
            <w:tcW w:type="dxa" w:w="3389"/>
            <w:vAlign w:val="top"/>
          </w:tcPr>
          <w:p>
            <w:r>
              <w:t>FAILED</w:t>
            </w:r>
          </w:p>
        </w:tc>
        <w:tc>
          <w:tcPr>
            <w:tcW w:type="dxa" w:w="3389"/>
            <w:vAlign w:val="top"/>
          </w:tcPr>
          <w:p>
            <w:r>
              <w:t>Non-retryable or retry budget exhausted</w:t>
            </w:r>
          </w:p>
        </w:tc>
        <w:tc>
          <w:tcPr>
            <w:tcW w:type="dxa" w:w="3389"/>
            <w:vAlign w:val="top"/>
          </w:tcPr>
          <w:p>
            <w:r>
              <w:t>QUEUED via explicit retry</w:t>
            </w:r>
          </w:p>
        </w:tc>
      </w:tr>
      <w:tr>
        <w:tc>
          <w:tcPr>
            <w:tcW w:type="dxa" w:w="3389"/>
            <w:vAlign w:val="top"/>
          </w:tcPr>
          <w:p>
            <w:r>
              <w:t>CANCELLED</w:t>
            </w:r>
          </w:p>
        </w:tc>
        <w:tc>
          <w:tcPr>
            <w:tcW w:type="dxa" w:w="3389"/>
            <w:vAlign w:val="top"/>
          </w:tcPr>
          <w:p>
            <w:r>
              <w:t>Cancelled before processing</w:t>
            </w:r>
          </w:p>
        </w:tc>
        <w:tc>
          <w:tcPr>
            <w:tcW w:type="dxa" w:w="3389"/>
            <w:vAlign w:val="top"/>
          </w:tcPr>
          <w:p>
            <w:r>
              <w:t>terminal</w:t>
            </w:r>
          </w:p>
        </w:tc>
      </w:tr>
    </w:tbl>
    <w:p/>
    <w:p>
      <w:pPr>
        <w:pStyle w:val="Heading2"/>
      </w:pPr>
      <w:r>
        <w:t>10.2 SQS semantics</w:t>
      </w:r>
    </w:p>
    <w:p>
      <w:pPr>
        <w:pStyle w:val="ListBullet"/>
        <w:spacing w:after="20"/>
      </w:pPr>
      <w:r>
        <w:t>Standard queue is sufficient; application idempotency is mandatory.</w:t>
      </w:r>
    </w:p>
    <w:p>
      <w:pPr>
        <w:pStyle w:val="ListBullet"/>
        <w:spacing w:after="20"/>
      </w:pPr>
      <w:r>
        <w:t>Configure visibility timeout above worker/provider worst-case duration with margin.</w:t>
      </w:r>
    </w:p>
    <w:p>
      <w:pPr>
        <w:pStyle w:val="ListBullet"/>
        <w:spacing w:after="20"/>
      </w:pPr>
      <w:r>
        <w:t>Redrive to DLQ after bounded receive count; alarm on DLQ &gt; 0 and oldest-message age.</w:t>
      </w:r>
    </w:p>
    <w:p>
      <w:pPr>
        <w:pStyle w:val="ListBullet"/>
        <w:spacing w:after="20"/>
      </w:pPr>
      <w:r>
        <w:t>Cap Lambda reserved concurrency to protect remove.bg/fal.ai quotas and spend.</w:t>
      </w:r>
    </w:p>
    <w:p>
      <w:pPr>
        <w:pStyle w:val="ListBullet"/>
        <w:spacing w:after="20"/>
      </w:pPr>
      <w:r>
        <w:t>Use exponential backoff with jitter for 429, transient 5xx and network failures; do not retry invalid images/4xx contract errors blindly.</w:t>
      </w:r>
    </w:p>
    <w:p>
      <w:pPr>
        <w:pStyle w:val="Heading1"/>
      </w:pPr>
      <w:r>
        <w:t>11. Processing provider abstraction</w:t>
      </w:r>
    </w:p>
    <w:p>
      <w:pPr>
        <w:spacing w:after="100"/>
        <w:ind w:left="259"/>
      </w:pPr>
      <w:r>
        <w:rPr>
          <w:rFonts w:ascii="Consolas" w:hAnsi="Consolas"/>
          <w:sz w:val="16"/>
        </w:rPr>
        <w:t>export interface BackgroundRemovalProvider {</w:t>
        <w:br/>
        <w:t xml:space="preserve">  readonly name: 'removebg' | 'fal-birefnet' | 'selfhosted-birefnet';</w:t>
        <w:br/>
        <w:t xml:space="preserve">  process(input: ProcessImageInput): Promise&lt;ProcessImageResult&gt;;</w:t>
        <w:br/>
        <w:t>}</w:t>
        <w:br/>
        <w:br/>
        <w:t>ProcessImageInput:</w:t>
        <w:br/>
        <w:t xml:space="preserve">  source: signed/internal object reference</w:t>
        <w:br/>
        <w:t xml:space="preserve">  options: normalized domain options</w:t>
        <w:br/>
        <w:t xml:space="preserve">  idempotencyKey: jobId</w:t>
        <w:br/>
        <w:br/>
        <w:t>ProcessImageResult:</w:t>
        <w:br/>
        <w:t xml:space="preserve">  bytes or staged object reference</w:t>
        <w:br/>
        <w:t xml:space="preserve">  mimeType</w:t>
        <w:br/>
        <w:t xml:space="preserve">  width/height</w:t>
        <w:br/>
        <w:t xml:space="preserve">  providerRequestId?</w:t>
        <w:br/>
        <w:t xml:space="preserve">  diagnostics/timing</w:t>
      </w:r>
    </w:p>
    <w:p>
      <w:pPr>
        <w:spacing w:after="80"/>
      </w:pPr>
      <w:r>
        <w:t>Provider-specific HTTP payloads, auth headers, error shapes and polling/webhook mechanics remain inside adapters. The domain sees normalized success/failure classes such as INVALID_INPUT, RATE_LIMITED, UPSTREAM_TIMEOUT, UPSTREAM_UNAVAILABLE and INTERNAL_ERROR.</w:t>
      </w:r>
    </w:p>
    <w:p>
      <w:pPr>
        <w:pStyle w:val="Heading2"/>
      </w:pPr>
      <w:r>
        <w:t>11.1 remove.bg V1</w:t>
      </w:r>
    </w:p>
    <w:p>
      <w:pPr>
        <w:spacing w:after="80"/>
      </w:pPr>
      <w:r>
        <w:t>The Lambda worker performs the provider request and writes the returned image to S3. Provider API keys live in AWS secrets/configuration, never Vercel client bundles or repository files.</w:t>
      </w:r>
    </w:p>
    <w:p>
      <w:pPr>
        <w:pStyle w:val="Heading2"/>
      </w:pPr>
      <w:r>
        <w:t>11.2 fal.ai migration</w:t>
      </w:r>
    </w:p>
    <w:p>
      <w:pPr>
        <w:spacing w:after="80"/>
      </w:pPr>
      <w:r>
        <w:t>If fal.ai is asynchronous, the adapter may submit work and persist providerRequestId, then complete through provider polling or a webhook consumer. This is an adapter-level lifecycle; ProcessingJob remains the application-level lifecycle.</w:t>
      </w:r>
    </w:p>
    <w:p>
      <w:pPr>
        <w:pStyle w:val="Heading2"/>
      </w:pPr>
      <w:r>
        <w:t>11.3 self-hosted BiRefNet</w:t>
      </w:r>
    </w:p>
    <w:p>
      <w:pPr>
        <w:spacing w:after="80"/>
      </w:pPr>
      <w:r>
        <w:t>Replace the SQS consumer target with autoscaled GPU workers. Keep the queue message contract and output S3 contract stable. GPU workers claim jobs, run BiRefNet v2, write outputs and update the same job state. Scale on queue depth/oldest message age plus GPU utilization, with a configured maximum fleet size.</w:t>
      </w:r>
    </w:p>
    <w:p>
      <w:pPr>
        <w:pStyle w:val="Heading1"/>
      </w:pPr>
      <w:r>
        <w:t>12. Client state and status UX</w:t>
      </w:r>
    </w:p>
    <w:p>
      <w:pPr>
        <w:spacing w:after="80"/>
      </w:pPr>
      <w:r>
        <w:t>Zustand is used only for transient interaction: active upload progress, selected images, modal wizard state, local filters and the set of job IDs currently being polled. Server Components/API responses remain canonical for inventory and persisted job state.</w:t>
      </w:r>
    </w:p>
    <w:p>
      <w:pPr>
        <w:pStyle w:val="Heading2"/>
      </w:pPr>
      <w:r>
        <w:t>12.1 Adaptive polling</w:t>
      </w:r>
    </w:p>
    <w:tbl>
      <w:tblPr>
        <w:tblStyle w:val="TableGrid"/>
        <w:tblW w:type="auto" w:w="0"/>
        <w:jc w:val="center"/>
        <w:tblLook w:firstColumn="1" w:firstRow="1" w:lastColumn="0" w:lastRow="0" w:noHBand="0" w:noVBand="1" w:val="04A0"/>
      </w:tblPr>
      <w:tblGrid>
        <w:gridCol w:w="5083"/>
        <w:gridCol w:w="5083"/>
      </w:tblGrid>
      <w:tr>
        <w:tc>
          <w:tcPr>
            <w:tcW w:type="dxa" w:w="5083"/>
            <w:shd w:fill="EDEDED"/>
          </w:tcPr>
          <w:p>
            <w:r>
              <w:rPr>
                <w:b/>
              </w:rPr>
              <w:t>Elapsed active time</w:t>
            </w:r>
          </w:p>
        </w:tc>
        <w:tc>
          <w:tcPr>
            <w:tcW w:type="dxa" w:w="5083"/>
            <w:shd w:fill="EDEDED"/>
          </w:tcPr>
          <w:p>
            <w:r>
              <w:rPr>
                <w:b/>
              </w:rPr>
              <w:t>Interval</w:t>
            </w:r>
          </w:p>
        </w:tc>
      </w:tr>
      <w:tr>
        <w:tc>
          <w:tcPr>
            <w:tcW w:type="dxa" w:w="5083"/>
            <w:vAlign w:val="top"/>
          </w:tcPr>
          <w:p>
            <w:r>
              <w:t>0–10 s</w:t>
            </w:r>
          </w:p>
        </w:tc>
        <w:tc>
          <w:tcPr>
            <w:tcW w:type="dxa" w:w="5083"/>
            <w:vAlign w:val="top"/>
          </w:tcPr>
          <w:p>
            <w:r>
              <w:t>1 s</w:t>
            </w:r>
          </w:p>
        </w:tc>
      </w:tr>
      <w:tr>
        <w:tc>
          <w:tcPr>
            <w:tcW w:type="dxa" w:w="5083"/>
            <w:vAlign w:val="top"/>
          </w:tcPr>
          <w:p>
            <w:r>
              <w:t>10–30 s</w:t>
            </w:r>
          </w:p>
        </w:tc>
        <w:tc>
          <w:tcPr>
            <w:tcW w:type="dxa" w:w="5083"/>
            <w:vAlign w:val="top"/>
          </w:tcPr>
          <w:p>
            <w:r>
              <w:t>2 s</w:t>
            </w:r>
          </w:p>
        </w:tc>
      </w:tr>
      <w:tr>
        <w:tc>
          <w:tcPr>
            <w:tcW w:type="dxa" w:w="5083"/>
            <w:vAlign w:val="top"/>
          </w:tcPr>
          <w:p>
            <w:r>
              <w:t>30–120 s</w:t>
            </w:r>
          </w:p>
        </w:tc>
        <w:tc>
          <w:tcPr>
            <w:tcW w:type="dxa" w:w="5083"/>
            <w:vAlign w:val="top"/>
          </w:tcPr>
          <w:p>
            <w:r>
              <w:t>5 s</w:t>
            </w:r>
          </w:p>
        </w:tc>
      </w:tr>
      <w:tr>
        <w:tc>
          <w:tcPr>
            <w:tcW w:type="dxa" w:w="5083"/>
            <w:vAlign w:val="top"/>
          </w:tcPr>
          <w:p>
            <w:r>
              <w:t>&gt;120 s</w:t>
            </w:r>
          </w:p>
        </w:tc>
        <w:tc>
          <w:tcPr>
            <w:tcW w:type="dxa" w:w="5083"/>
            <w:vAlign w:val="top"/>
          </w:tcPr>
          <w:p>
            <w:r>
              <w:t>10 s</w:t>
            </w:r>
          </w:p>
        </w:tc>
      </w:tr>
    </w:tbl>
    <w:p/>
    <w:p>
      <w:pPr>
        <w:spacing w:after="80"/>
      </w:pPr>
      <w:r>
        <w:t>Stop polling for COMPLETED, FAILED or CANCELLED. Pause/reduce polling when the tab is hidden and refresh immediately on visibility return. Prefer one batched status endpoint for multiple active jobs to avoid N requests per vehicle.</w:t>
      </w:r>
    </w:p>
    <w:p>
      <w:pPr>
        <w:pStyle w:val="Heading2"/>
      </w:pPr>
      <w:r>
        <w:t>12.2 Status bar</w:t>
      </w:r>
    </w:p>
    <w:p>
      <w:pPr>
        <w:spacing w:after="80"/>
      </w:pPr>
      <w:r>
        <w:t>Use truthful stage labels: Uploading → Queued → Removing background/Processing → Finalizing → Complete. Upload may show real byte percentage from the browser PUT. Processing should not show a fabricated numeric percentage unless a provider supplies meaningful progress.</w:t>
      </w:r>
    </w:p>
    <w:p>
      <w:pPr>
        <w:pStyle w:val="Heading1"/>
      </w:pPr>
      <w:r>
        <w:t>13. UI/component specification</w:t>
      </w:r>
    </w:p>
    <w:p>
      <w:pPr>
        <w:pStyle w:val="Heading2"/>
      </w:pPr>
      <w:r>
        <w:t>13.1 Marketing homepage</w:t>
      </w:r>
    </w:p>
    <w:p>
      <w:pPr>
        <w:pStyle w:val="ListBullet"/>
        <w:spacing w:after="20"/>
      </w:pPr>
      <w:r>
        <w:t>Top navigation with brand, product/feature links, pricing, login and primary CTA.</w:t>
      </w:r>
    </w:p>
    <w:p>
      <w:pPr>
        <w:pStyle w:val="ListBullet"/>
        <w:spacing w:after="20"/>
      </w:pPr>
      <w:r>
        <w:t>Hero with high-contrast headline, supporting copy, CTA pair and before/after vehicle comparison visual.</w:t>
      </w:r>
    </w:p>
    <w:p>
      <w:pPr>
        <w:pStyle w:val="ListBullet"/>
        <w:spacing w:after="20"/>
      </w:pPr>
      <w:r>
        <w:t>Workflow section describing vehicle details, photo upload, treatment customization and review/process.</w:t>
      </w:r>
    </w:p>
    <w:p>
      <w:pPr>
        <w:pStyle w:val="ListBullet"/>
        <w:spacing w:after="20"/>
      </w:pPr>
      <w:r>
        <w:t>Visual-quality section with a studio-look vehicle composition and supporting feature bullets.</w:t>
      </w:r>
    </w:p>
    <w:p>
      <w:pPr>
        <w:pStyle w:val="ListBullet"/>
        <w:spacing w:after="20"/>
      </w:pPr>
      <w:r>
        <w:t>Pricing section with three tiers; emphasize the middle/primary paid tier using the screenshot's dark treatment.</w:t>
      </w:r>
    </w:p>
    <w:p>
      <w:pPr>
        <w:pStyle w:val="ListBullet"/>
        <w:spacing w:after="20"/>
      </w:pPr>
      <w:r>
        <w:t>Final dark CTA band and footer.</w:t>
      </w:r>
    </w:p>
    <w:p>
      <w:pPr>
        <w:pStyle w:val="Heading2"/>
      </w:pPr>
      <w:r>
        <w:t>13.2 Authenticated shell</w:t>
      </w:r>
    </w:p>
    <w:p>
      <w:pPr>
        <w:pStyle w:val="ListBullet"/>
        <w:spacing w:after="20"/>
      </w:pPr>
      <w:r>
        <w:t>Persistent left navigation on desktop with Dashboard, Inventory, Portfolio/related area, Usage &amp; Billing, Profile/Settings and Help where shown.</w:t>
      </w:r>
    </w:p>
    <w:p>
      <w:pPr>
        <w:pStyle w:val="ListBullet"/>
        <w:spacing w:after="20"/>
      </w:pPr>
      <w:r>
        <w:t>Main content width, card radii, subdued borders, black primary actions and compact typography follow screenshots.</w:t>
      </w:r>
    </w:p>
    <w:p>
      <w:pPr>
        <w:pStyle w:val="ListBullet"/>
        <w:spacing w:after="20"/>
      </w:pPr>
      <w:r>
        <w:t>Mobile/tablet behavior collapses navigation without changing information architecture.</w:t>
      </w:r>
    </w:p>
    <w:p>
      <w:pPr>
        <w:pStyle w:val="Heading2"/>
      </w:pPr>
      <w:r>
        <w:t>13.3 Dashboard</w:t>
      </w:r>
    </w:p>
    <w:p>
      <w:pPr>
        <w:pStyle w:val="ListBullet"/>
        <w:spacing w:after="20"/>
      </w:pPr>
      <w:r>
        <w:t>Personal greeting and primary upload action.</w:t>
      </w:r>
    </w:p>
    <w:p>
      <w:pPr>
        <w:pStyle w:val="ListBullet"/>
        <w:spacing w:after="20"/>
      </w:pPr>
      <w:r>
        <w:t>Metric cards for inventory/processed counts, image volume, active processing and storage/usage where represented.</w:t>
      </w:r>
    </w:p>
    <w:p>
      <w:pPr>
        <w:pStyle w:val="ListBullet"/>
        <w:spacing w:after="20"/>
      </w:pPr>
      <w:r>
        <w:t>Recent/latest vehicle cards with thumbnails and compact status chips.</w:t>
      </w:r>
    </w:p>
    <w:p>
      <w:pPr>
        <w:pStyle w:val="ListBullet"/>
        <w:spacing w:after="20"/>
      </w:pPr>
      <w:r>
        <w:t>Skeleton states preserve card geometry to avoid layout shift.</w:t>
      </w:r>
    </w:p>
    <w:p>
      <w:pPr>
        <w:pStyle w:val="Heading2"/>
      </w:pPr>
      <w:r>
        <w:t>13.4 Inventory</w:t>
      </w:r>
    </w:p>
    <w:p>
      <w:pPr>
        <w:pStyle w:val="ListBullet"/>
        <w:spacing w:after="20"/>
      </w:pPr>
      <w:r>
        <w:t>Search, status filters, sort and upload/create CTA.</w:t>
      </w:r>
    </w:p>
    <w:p>
      <w:pPr>
        <w:pStyle w:val="ListBullet"/>
        <w:spacing w:after="20"/>
      </w:pPr>
      <w:r>
        <w:t>Responsive vehicle card grid. Card includes hero thumbnail, vehicle identity, metadata and processing/status indicator.</w:t>
      </w:r>
    </w:p>
    <w:p>
      <w:pPr>
        <w:pStyle w:val="ListBullet"/>
        <w:spacing w:after="20"/>
      </w:pPr>
      <w:r>
        <w:t>Server-side pagination or cursor pagination once inventory exceeds a single-page threshold; URL query parameters own shareable filter state.</w:t>
      </w:r>
    </w:p>
    <w:p>
      <w:pPr>
        <w:pStyle w:val="Heading2"/>
      </w:pPr>
      <w:r>
        <w:t>13.5 Vehicle portfolio/detail</w:t>
      </w:r>
    </w:p>
    <w:p>
      <w:pPr>
        <w:pStyle w:val="ListBullet"/>
        <w:spacing w:after="20"/>
      </w:pPr>
      <w:r>
        <w:t>Vehicle heading and metadata with large primary image, side thumbnail rail/grid and result controls.</w:t>
      </w:r>
    </w:p>
    <w:p>
      <w:pPr>
        <w:pStyle w:val="ListBullet"/>
        <w:spacing w:after="20"/>
      </w:pPr>
      <w:r>
        <w:t>Processed/original comparison is supported without duplicating full-size downloads unnecessarily.</w:t>
      </w:r>
    </w:p>
    <w:p>
      <w:pPr>
        <w:pStyle w:val="ListBullet"/>
        <w:spacing w:after="20"/>
      </w:pPr>
      <w:r>
        <w:t>Actions include selecting result variant, downloading via signed URL, and retry/reprocess where policy permits.</w:t>
      </w:r>
    </w:p>
    <w:p>
      <w:pPr>
        <w:pStyle w:val="Heading2"/>
      </w:pPr>
      <w:r>
        <w:t>13.6 Four-step upload wizard</w:t>
      </w:r>
    </w:p>
    <w:tbl>
      <w:tblPr>
        <w:tblStyle w:val="TableGrid"/>
        <w:tblW w:type="auto" w:w="0"/>
        <w:jc w:val="center"/>
        <w:tblLook w:firstColumn="1" w:firstRow="1" w:lastColumn="0" w:lastRow="0" w:noHBand="0" w:noVBand="1" w:val="04A0"/>
      </w:tblPr>
      <w:tblGrid>
        <w:gridCol w:w="5083"/>
        <w:gridCol w:w="5083"/>
      </w:tblGrid>
      <w:tr>
        <w:tc>
          <w:tcPr>
            <w:tcW w:type="dxa" w:w="5083"/>
            <w:shd w:fill="EDEDED"/>
          </w:tcPr>
          <w:p>
            <w:r>
              <w:rPr>
                <w:b/>
              </w:rPr>
              <w:t>Step</w:t>
            </w:r>
          </w:p>
        </w:tc>
        <w:tc>
          <w:tcPr>
            <w:tcW w:type="dxa" w:w="5083"/>
            <w:shd w:fill="EDEDED"/>
          </w:tcPr>
          <w:p>
            <w:r>
              <w:rPr>
                <w:b/>
              </w:rPr>
              <w:t>Required data/behavior</w:t>
            </w:r>
          </w:p>
        </w:tc>
      </w:tr>
      <w:tr>
        <w:tc>
          <w:tcPr>
            <w:tcW w:type="dxa" w:w="5083"/>
            <w:vAlign w:val="top"/>
          </w:tcPr>
          <w:p>
            <w:r>
              <w:t>1. Vehicle details</w:t>
            </w:r>
          </w:p>
        </w:tc>
        <w:tc>
          <w:tcPr>
            <w:tcW w:type="dxa" w:w="5083"/>
            <w:vAlign w:val="top"/>
          </w:tcPr>
          <w:p>
            <w:r>
              <w:t>Make/model/year/trim/body/other screenshot fields; Zod validation; draft persists while modal remains open.</w:t>
            </w:r>
          </w:p>
        </w:tc>
      </w:tr>
      <w:tr>
        <w:tc>
          <w:tcPr>
            <w:tcW w:type="dxa" w:w="5083"/>
            <w:vAlign w:val="top"/>
          </w:tcPr>
          <w:p>
            <w:r>
              <w:t>2. Upload photos</w:t>
            </w:r>
          </w:p>
        </w:tc>
        <w:tc>
          <w:tcPr>
            <w:tcW w:type="dxa" w:w="5083"/>
            <w:vAlign w:val="top"/>
          </w:tcPr>
          <w:p>
            <w:r>
              <w:t>Drag/drop + picker; multiple files; per-file upload progress/status; reorder/remove before submission.</w:t>
            </w:r>
          </w:p>
        </w:tc>
      </w:tr>
      <w:tr>
        <w:tc>
          <w:tcPr>
            <w:tcW w:type="dxa" w:w="5083"/>
            <w:vAlign w:val="top"/>
          </w:tcPr>
          <w:p>
            <w:r>
              <w:t>3. Customize treatment</w:t>
            </w:r>
          </w:p>
        </w:tc>
        <w:tc>
          <w:tcPr>
            <w:tcW w:type="dxa" w:w="5083"/>
            <w:vAlign w:val="top"/>
          </w:tcPr>
          <w:p>
            <w:r>
              <w:t>Normalized processing options; background/treatment selections and preview swatches from screenshot.</w:t>
            </w:r>
          </w:p>
        </w:tc>
      </w:tr>
      <w:tr>
        <w:tc>
          <w:tcPr>
            <w:tcW w:type="dxa" w:w="5083"/>
            <w:vAlign w:val="top"/>
          </w:tcPr>
          <w:p>
            <w:r>
              <w:t>4. Review &amp; process</w:t>
            </w:r>
          </w:p>
        </w:tc>
        <w:tc>
          <w:tcPr>
            <w:tcW w:type="dxa" w:w="5083"/>
            <w:vAlign w:val="top"/>
          </w:tcPr>
          <w:p>
            <w:r>
              <w:t>Vehicle summary + image count + selected options; final server validation; commit/queue; close to inventory with active status.</w:t>
            </w:r>
          </w:p>
        </w:tc>
      </w:tr>
    </w:tbl>
    <w:p/>
    <w:p>
      <w:pPr>
        <w:spacing w:after="80"/>
      </w:pPr>
      <w:r>
        <w:t>The wizard must survive transient upload errors without losing already-uploaded assets. Closing with unsaved changes prompts for confirmation. Keyboard focus is trapped in the dialog; labels, errors and progress are accessible.</w:t>
      </w:r>
    </w:p>
    <w:p>
      <w:pPr>
        <w:pStyle w:val="Heading2"/>
      </w:pPr>
      <w:r>
        <w:t>13.7 Usage &amp; Billing</w:t>
      </w:r>
    </w:p>
    <w:p>
      <w:pPr>
        <w:pStyle w:val="ListBullet"/>
        <w:spacing w:after="20"/>
      </w:pPr>
      <w:r>
        <w:t>Current plan summary and usage/capacity bars.</w:t>
      </w:r>
    </w:p>
    <w:p>
      <w:pPr>
        <w:pStyle w:val="ListBullet"/>
        <w:spacing w:after="20"/>
      </w:pPr>
      <w:r>
        <w:t>Plan cards matching screenshot hierarchy; entitlement data comes from server plan configuration rather than hard-coded UI constants.</w:t>
      </w:r>
    </w:p>
    <w:p>
      <w:pPr>
        <w:pStyle w:val="ListBullet"/>
        <w:spacing w:after="20"/>
      </w:pPr>
      <w:r>
        <w:t>Usage calculations are derived from immutable UsageEvent records and current plan limits.</w:t>
      </w:r>
    </w:p>
    <w:p>
      <w:pPr>
        <w:pStyle w:val="ListBullet"/>
        <w:spacing w:after="20"/>
      </w:pPr>
      <w:r>
        <w:t>Upgrade buttons call a BillingPort abstraction; until a payment provider is selected they may route to a controlled placeholder/interest flow, not fake payment success.</w:t>
      </w:r>
    </w:p>
    <w:p>
      <w:pPr>
        <w:pStyle w:val="Heading2"/>
      </w:pPr>
      <w:r>
        <w:t>13.8 Profile</w:t>
      </w:r>
    </w:p>
    <w:p>
      <w:pPr>
        <w:spacing w:after="80"/>
      </w:pPr>
      <w:r>
        <w:t>No dedicated profile screenshot was present in the supplied ZIP. Implement it using the authenticated shell/design tokens: display name, email/phone identities, linked Google/phone status, session/security controls and sign-out. Do not invent unrelated visual patterns.</w:t>
      </w:r>
    </w:p>
    <w:p>
      <w:pPr>
        <w:pStyle w:val="Heading1"/>
      </w:pPr>
      <w:r>
        <w:t>14. API and server-action contracts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tcPr>
          <w:p>
            <w:r>
              <w:rPr>
                <w:b/>
              </w:rPr>
              <w:t>Method</w:t>
            </w:r>
          </w:p>
        </w:tc>
        <w:tc>
          <w:tcPr>
            <w:tcW w:type="dxa" w:w="3389"/>
            <w:shd w:fill="EDEDED"/>
          </w:tcPr>
          <w:p>
            <w:r>
              <w:rPr>
                <w:b/>
              </w:rPr>
              <w:t>Path</w:t>
            </w:r>
          </w:p>
        </w:tc>
        <w:tc>
          <w:tcPr>
            <w:tcW w:type="dxa" w:w="3389"/>
            <w:shd w:fill="EDEDED"/>
          </w:tcPr>
          <w:p>
            <w:r>
              <w:rPr>
                <w:b/>
              </w:rPr>
              <w:t>Purpose</w:t>
            </w:r>
          </w:p>
        </w:tc>
      </w:tr>
      <w:tr>
        <w:tc>
          <w:tcPr>
            <w:tcW w:type="dxa" w:w="3389"/>
            <w:vAlign w:val="top"/>
          </w:tcPr>
          <w:p>
            <w:r>
              <w:t>POST</w:t>
            </w:r>
          </w:p>
        </w:tc>
        <w:tc>
          <w:tcPr>
            <w:tcW w:type="dxa" w:w="3389"/>
            <w:vAlign w:val="top"/>
          </w:tcPr>
          <w:p>
            <w:r>
              <w:t>/api/auth/phone/start</w:t>
            </w:r>
          </w:p>
        </w:tc>
        <w:tc>
          <w:tcPr>
            <w:tcW w:type="dxa" w:w="3389"/>
            <w:vAlign w:val="top"/>
          </w:tcPr>
          <w:p>
            <w:r>
              <w:t>Request MSG91 OTP challenge</w:t>
            </w:r>
          </w:p>
        </w:tc>
      </w:tr>
      <w:tr>
        <w:tc>
          <w:tcPr>
            <w:tcW w:type="dxa" w:w="3389"/>
            <w:vAlign w:val="top"/>
          </w:tcPr>
          <w:p>
            <w:r>
              <w:t>POST</w:t>
            </w:r>
          </w:p>
        </w:tc>
        <w:tc>
          <w:tcPr>
            <w:tcW w:type="dxa" w:w="3389"/>
            <w:vAlign w:val="top"/>
          </w:tcPr>
          <w:p>
            <w:r>
              <w:t>/api/auth/phone/verify</w:t>
            </w:r>
          </w:p>
        </w:tc>
        <w:tc>
          <w:tcPr>
            <w:tcW w:type="dxa" w:w="3389"/>
            <w:vAlign w:val="top"/>
          </w:tcPr>
          <w:p>
            <w:r>
              <w:t>Verify OTP and create/link session</w:t>
            </w:r>
          </w:p>
        </w:tc>
      </w:tr>
      <w:tr>
        <w:tc>
          <w:tcPr>
            <w:tcW w:type="dxa" w:w="3389"/>
            <w:vAlign w:val="top"/>
          </w:tcPr>
          <w:p>
            <w:r>
              <w:t>GET</w:t>
            </w:r>
          </w:p>
        </w:tc>
        <w:tc>
          <w:tcPr>
            <w:tcW w:type="dxa" w:w="3389"/>
            <w:vAlign w:val="top"/>
          </w:tcPr>
          <w:p>
            <w:r>
              <w:t>/api/auth/google/start</w:t>
            </w:r>
          </w:p>
        </w:tc>
        <w:tc>
          <w:tcPr>
            <w:tcW w:type="dxa" w:w="3389"/>
            <w:vAlign w:val="top"/>
          </w:tcPr>
          <w:p>
            <w:r>
              <w:t>Begin Google OAuth</w:t>
            </w:r>
          </w:p>
        </w:tc>
      </w:tr>
      <w:tr>
        <w:tc>
          <w:tcPr>
            <w:tcW w:type="dxa" w:w="3389"/>
            <w:vAlign w:val="top"/>
          </w:tcPr>
          <w:p>
            <w:r>
              <w:t>GET</w:t>
            </w:r>
          </w:p>
        </w:tc>
        <w:tc>
          <w:tcPr>
            <w:tcW w:type="dxa" w:w="3389"/>
            <w:vAlign w:val="top"/>
          </w:tcPr>
          <w:p>
            <w:r>
              <w:t>/api/auth/google/callback</w:t>
            </w:r>
          </w:p>
        </w:tc>
        <w:tc>
          <w:tcPr>
            <w:tcW w:type="dxa" w:w="3389"/>
            <w:vAlign w:val="top"/>
          </w:tcPr>
          <w:p>
            <w:r>
              <w:t>Validate callback and create/link session</w:t>
            </w:r>
          </w:p>
        </w:tc>
      </w:tr>
      <w:tr>
        <w:tc>
          <w:tcPr>
            <w:tcW w:type="dxa" w:w="3389"/>
            <w:vAlign w:val="top"/>
          </w:tcPr>
          <w:p>
            <w:r>
              <w:t>POST</w:t>
            </w:r>
          </w:p>
        </w:tc>
        <w:tc>
          <w:tcPr>
            <w:tcW w:type="dxa" w:w="3389"/>
            <w:vAlign w:val="top"/>
          </w:tcPr>
          <w:p>
            <w:r>
              <w:t>/api/vehicles</w:t>
            </w:r>
          </w:p>
        </w:tc>
        <w:tc>
          <w:tcPr>
            <w:tcW w:type="dxa" w:w="3389"/>
            <w:vAlign w:val="top"/>
          </w:tcPr>
          <w:p>
            <w:r>
              <w:t>Create vehicle draft</w:t>
            </w:r>
          </w:p>
        </w:tc>
      </w:tr>
      <w:tr>
        <w:tc>
          <w:tcPr>
            <w:tcW w:type="dxa" w:w="3389"/>
            <w:vAlign w:val="top"/>
          </w:tcPr>
          <w:p>
            <w:r>
              <w:t>PATCH</w:t>
            </w:r>
          </w:p>
        </w:tc>
        <w:tc>
          <w:tcPr>
            <w:tcW w:type="dxa" w:w="3389"/>
            <w:vAlign w:val="top"/>
          </w:tcPr>
          <w:p>
            <w:r>
              <w:t>/api/vehicles/:id</w:t>
            </w:r>
          </w:p>
        </w:tc>
        <w:tc>
          <w:tcPr>
            <w:tcW w:type="dxa" w:w="3389"/>
            <w:vAlign w:val="top"/>
          </w:tcPr>
          <w:p>
            <w:r>
              <w:t>Update owned vehicle metadata</w:t>
            </w:r>
          </w:p>
        </w:tc>
      </w:tr>
      <w:tr>
        <w:tc>
          <w:tcPr>
            <w:tcW w:type="dxa" w:w="3389"/>
            <w:vAlign w:val="top"/>
          </w:tcPr>
          <w:p>
            <w:r>
              <w:t>POST</w:t>
            </w:r>
          </w:p>
        </w:tc>
        <w:tc>
          <w:tcPr>
            <w:tcW w:type="dxa" w:w="3389"/>
            <w:vAlign w:val="top"/>
          </w:tcPr>
          <w:p>
            <w:r>
              <w:t>/api/uploads/presign</w:t>
            </w:r>
          </w:p>
        </w:tc>
        <w:tc>
          <w:tcPr>
            <w:tcW w:type="dxa" w:w="3389"/>
            <w:vAlign w:val="top"/>
          </w:tcPr>
          <w:p>
            <w:r>
              <w:t>Create upload intent + presigned PUT</w:t>
            </w:r>
          </w:p>
        </w:tc>
      </w:tr>
      <w:tr>
        <w:tc>
          <w:tcPr>
            <w:tcW w:type="dxa" w:w="3389"/>
            <w:vAlign w:val="top"/>
          </w:tcPr>
          <w:p>
            <w:r>
              <w:t>POST</w:t>
            </w:r>
          </w:p>
        </w:tc>
        <w:tc>
          <w:tcPr>
            <w:tcW w:type="dxa" w:w="3389"/>
            <w:vAlign w:val="top"/>
          </w:tcPr>
          <w:p>
            <w:r>
              <w:t>/api/uploads/:assetId/commit</w:t>
            </w:r>
          </w:p>
        </w:tc>
        <w:tc>
          <w:tcPr>
            <w:tcW w:type="dxa" w:w="3389"/>
            <w:vAlign w:val="top"/>
          </w:tcPr>
          <w:p>
            <w:r>
              <w:t>Verify S3 object and mark uploaded</w:t>
            </w:r>
          </w:p>
        </w:tc>
      </w:tr>
      <w:tr>
        <w:tc>
          <w:tcPr>
            <w:tcW w:type="dxa" w:w="3389"/>
            <w:vAlign w:val="top"/>
          </w:tcPr>
          <w:p>
            <w:r>
              <w:t>POST</w:t>
            </w:r>
          </w:p>
        </w:tc>
        <w:tc>
          <w:tcPr>
            <w:tcW w:type="dxa" w:w="3389"/>
            <w:vAlign w:val="top"/>
          </w:tcPr>
          <w:p>
            <w:r>
              <w:t>/api/vehicles/:id/process</w:t>
            </w:r>
          </w:p>
        </w:tc>
        <w:tc>
          <w:tcPr>
            <w:tcW w:type="dxa" w:w="3389"/>
            <w:vAlign w:val="top"/>
          </w:tcPr>
          <w:p>
            <w:r>
              <w:t>Create idempotent jobs and enqueue</w:t>
            </w:r>
          </w:p>
        </w:tc>
      </w:tr>
      <w:tr>
        <w:tc>
          <w:tcPr>
            <w:tcW w:type="dxa" w:w="3389"/>
            <w:vAlign w:val="top"/>
          </w:tcPr>
          <w:p>
            <w:r>
              <w:t>GET</w:t>
            </w:r>
          </w:p>
        </w:tc>
        <w:tc>
          <w:tcPr>
            <w:tcW w:type="dxa" w:w="3389"/>
            <w:vAlign w:val="top"/>
          </w:tcPr>
          <w:p>
            <w:r>
              <w:t>/api/jobs?ids=...</w:t>
            </w:r>
          </w:p>
        </w:tc>
        <w:tc>
          <w:tcPr>
            <w:tcW w:type="dxa" w:w="3389"/>
            <w:vAlign w:val="top"/>
          </w:tcPr>
          <w:p>
            <w:r>
              <w:t>Batch status polling</w:t>
            </w:r>
          </w:p>
        </w:tc>
      </w:tr>
      <w:tr>
        <w:tc>
          <w:tcPr>
            <w:tcW w:type="dxa" w:w="3389"/>
            <w:vAlign w:val="top"/>
          </w:tcPr>
          <w:p>
            <w:r>
              <w:t>POST</w:t>
            </w:r>
          </w:p>
        </w:tc>
        <w:tc>
          <w:tcPr>
            <w:tcW w:type="dxa" w:w="3389"/>
            <w:vAlign w:val="top"/>
          </w:tcPr>
          <w:p>
            <w:r>
              <w:t>/api/jobs/:id/retry</w:t>
            </w:r>
          </w:p>
        </w:tc>
        <w:tc>
          <w:tcPr>
            <w:tcW w:type="dxa" w:w="3389"/>
            <w:vAlign w:val="top"/>
          </w:tcPr>
          <w:p>
            <w:r>
              <w:t>Explicit retry subject to policy</w:t>
            </w:r>
          </w:p>
        </w:tc>
      </w:tr>
      <w:tr>
        <w:tc>
          <w:tcPr>
            <w:tcW w:type="dxa" w:w="3389"/>
            <w:vAlign w:val="top"/>
          </w:tcPr>
          <w:p>
            <w:r>
              <w:t>GET</w:t>
            </w:r>
          </w:p>
        </w:tc>
        <w:tc>
          <w:tcPr>
            <w:tcW w:type="dxa" w:w="3389"/>
            <w:vAlign w:val="top"/>
          </w:tcPr>
          <w:p>
            <w:r>
              <w:t>/api/assets/:id/download</w:t>
            </w:r>
          </w:p>
        </w:tc>
        <w:tc>
          <w:tcPr>
            <w:tcW w:type="dxa" w:w="3389"/>
            <w:vAlign w:val="top"/>
          </w:tcPr>
          <w:p>
            <w:r>
              <w:t>Authorize and return short-lived signed GET</w:t>
            </w:r>
          </w:p>
        </w:tc>
      </w:tr>
      <w:tr>
        <w:tc>
          <w:tcPr>
            <w:tcW w:type="dxa" w:w="3389"/>
            <w:vAlign w:val="top"/>
          </w:tcPr>
          <w:p>
            <w:r>
              <w:t>GET</w:t>
            </w:r>
          </w:p>
        </w:tc>
        <w:tc>
          <w:tcPr>
            <w:tcW w:type="dxa" w:w="3389"/>
            <w:vAlign w:val="top"/>
          </w:tcPr>
          <w:p>
            <w:r>
              <w:t>/api/usage</w:t>
            </w:r>
          </w:p>
        </w:tc>
        <w:tc>
          <w:tcPr>
            <w:tcW w:type="dxa" w:w="3389"/>
            <w:vAlign w:val="top"/>
          </w:tcPr>
          <w:p>
            <w:r>
              <w:t>Current-period usage summary</w:t>
            </w:r>
          </w:p>
        </w:tc>
      </w:tr>
      <w:tr>
        <w:tc>
          <w:tcPr>
            <w:tcW w:type="dxa" w:w="3389"/>
            <w:vAlign w:val="top"/>
          </w:tcPr>
          <w:p>
            <w:r>
              <w:t>POST</w:t>
            </w:r>
          </w:p>
        </w:tc>
        <w:tc>
          <w:tcPr>
            <w:tcW w:type="dxa" w:w="3389"/>
            <w:vAlign w:val="top"/>
          </w:tcPr>
          <w:p>
            <w:r>
              <w:t>/api/webhooks/:provider</w:t>
            </w:r>
          </w:p>
        </w:tc>
        <w:tc>
          <w:tcPr>
            <w:tcW w:type="dxa" w:w="3389"/>
            <w:vAlign w:val="top"/>
          </w:tcPr>
          <w:p>
            <w:r>
              <w:t>Verified provider webhook where applicable</w:t>
            </w:r>
          </w:p>
        </w:tc>
      </w:tr>
    </w:tbl>
    <w:p/>
    <w:p>
      <w:pPr>
        <w:spacing w:after="80"/>
      </w:pPr>
      <w:r>
        <w:t>All mutating endpoints accept/derive an idempotency key where duplicate browser submission is plausible. Responses use a consistent typed error envelope with stable machine codes and safe user messages.</w:t>
      </w:r>
    </w:p>
    <w:p>
      <w:pPr>
        <w:pStyle w:val="Heading1"/>
      </w:pPr>
      <w:r>
        <w:t>15. Email architecture</w:t>
      </w:r>
    </w:p>
    <w:p>
      <w:pPr>
        <w:spacing w:after="80"/>
      </w:pPr>
      <w:r>
        <w:t>Resend is an adapter behind MailerPort. Request paths create notification work and return without waiting for external email delivery. Use a dedicated SQS queue or typed job channel separate from image processing concurrency.</w:t>
      </w:r>
    </w:p>
    <w:p>
      <w:pPr>
        <w:pStyle w:val="ListBullet"/>
        <w:spacing w:after="20"/>
      </w:pPr>
      <w:r>
        <w:t>Welcome/sign-in security messages where required.</w:t>
      </w:r>
    </w:p>
    <w:p>
      <w:pPr>
        <w:pStyle w:val="ListBullet"/>
        <w:spacing w:after="20"/>
      </w:pPr>
      <w:r>
        <w:t>Processing completion/failure notifications only when product requirements enable them.</w:t>
      </w:r>
    </w:p>
    <w:p>
      <w:pPr>
        <w:pStyle w:val="ListBullet"/>
        <w:spacing w:after="20"/>
      </w:pPr>
      <w:r>
        <w:t>Billing/usage threshold notifications.</w:t>
      </w:r>
    </w:p>
    <w:p>
      <w:pPr>
        <w:pStyle w:val="ListBullet"/>
        <w:spacing w:after="20"/>
      </w:pPr>
      <w:r>
        <w:t>Template rendering occurs in the worker; log provider message ID but never sensitive content unnecessarily.</w:t>
      </w:r>
    </w:p>
    <w:p>
      <w:pPr>
        <w:pStyle w:val="ListBullet"/>
        <w:spacing w:after="20"/>
      </w:pPr>
      <w:r>
        <w:t>Retries and DLQ behavior mirror other external-provider work.</w:t>
      </w:r>
    </w:p>
    <w:p>
      <w:pPr>
        <w:pStyle w:val="Heading1"/>
      </w:pPr>
      <w:r>
        <w:t>16. Performance and scalability</w:t>
      </w:r>
    </w:p>
    <w:p>
      <w:pPr>
        <w:pStyle w:val="Heading2"/>
      </w:pPr>
      <w:r>
        <w:t>16.1 Performance principles</w:t>
      </w:r>
    </w:p>
    <w:p>
      <w:pPr>
        <w:pStyle w:val="ListBullet"/>
        <w:spacing w:after="20"/>
      </w:pPr>
      <w:r>
        <w:t>Never proxy image upload/download bytes through Vercel when a signed S3 operation suffices.</w:t>
      </w:r>
    </w:p>
    <w:p>
      <w:pPr>
        <w:pStyle w:val="ListBullet"/>
        <w:spacing w:after="20"/>
      </w:pPr>
      <w:r>
        <w:t>Batch active-job polling; do not poll each card independently.</w:t>
      </w:r>
    </w:p>
    <w:p>
      <w:pPr>
        <w:pStyle w:val="ListBullet"/>
        <w:spacing w:after="20"/>
      </w:pPr>
      <w:r>
        <w:t>Use database connection pooling suitable for serverless/Vercel and cap Prisma concurrency.</w:t>
      </w:r>
    </w:p>
    <w:p>
      <w:pPr>
        <w:pStyle w:val="ListBullet"/>
        <w:spacing w:after="20"/>
      </w:pPr>
      <w:r>
        <w:t>Select only fields needed for card/list views; avoid loading full JSON/options and large relations on dashboard queries.</w:t>
      </w:r>
    </w:p>
    <w:p>
      <w:pPr>
        <w:pStyle w:val="ListBullet"/>
        <w:spacing w:after="20"/>
      </w:pPr>
      <w:r>
        <w:t>Generate/store lightweight previews for grids; do not render full-resolution PNGs as inventory thumbnails.</w:t>
      </w:r>
    </w:p>
    <w:p>
      <w:pPr>
        <w:pStyle w:val="ListBullet"/>
        <w:spacing w:after="20"/>
      </w:pPr>
      <w:r>
        <w:t>Use Next.js image optimization only where compatible with signed/private sources; otherwise deliver purpose-built preview assets.</w:t>
      </w:r>
    </w:p>
    <w:p>
      <w:pPr>
        <w:pStyle w:val="ListBullet"/>
        <w:spacing w:after="20"/>
      </w:pPr>
      <w:r>
        <w:t>Cache public marketing assets aggressively; authenticated business data should use explicit revalidation/no-store semantics according to freshness.</w:t>
      </w:r>
    </w:p>
    <w:p>
      <w:pPr>
        <w:pStyle w:val="Heading2"/>
      </w:pPr>
      <w:r>
        <w:t>16.2 Burst behavior</w:t>
      </w:r>
    </w:p>
    <w:tbl>
      <w:tblPr>
        <w:tblStyle w:val="TableGrid"/>
        <w:tblW w:type="auto" w:w="0"/>
        <w:jc w:val="center"/>
        <w:tblLook w:firstColumn="1" w:firstRow="1" w:lastColumn="0" w:lastRow="0" w:noHBand="0" w:noVBand="1" w:val="04A0"/>
      </w:tblPr>
      <w:tblGrid>
        <w:gridCol w:w="5083"/>
        <w:gridCol w:w="5083"/>
      </w:tblGrid>
      <w:tr>
        <w:tc>
          <w:tcPr>
            <w:tcW w:type="dxa" w:w="5083"/>
            <w:shd w:fill="EDEDED"/>
          </w:tcPr>
          <w:p>
            <w:r>
              <w:rPr>
                <w:b/>
              </w:rPr>
              <w:t>Scenario</w:t>
            </w:r>
          </w:p>
        </w:tc>
        <w:tc>
          <w:tcPr>
            <w:tcW w:type="dxa" w:w="5083"/>
            <w:shd w:fill="EDEDED"/>
          </w:tcPr>
          <w:p>
            <w:r>
              <w:rPr>
                <w:b/>
              </w:rPr>
              <w:t>Expected behavior</w:t>
            </w:r>
          </w:p>
        </w:tc>
      </w:tr>
      <w:tr>
        <w:tc>
          <w:tcPr>
            <w:tcW w:type="dxa" w:w="5083"/>
            <w:vAlign w:val="top"/>
          </w:tcPr>
          <w:p>
            <w:r>
              <w:t>10 concurrent uploads</w:t>
            </w:r>
          </w:p>
        </w:tc>
        <w:tc>
          <w:tcPr>
            <w:tcW w:type="dxa" w:w="5083"/>
            <w:vAlign w:val="top"/>
          </w:tcPr>
          <w:p>
            <w:r>
              <w:t>Direct S3 PUTs; jobs queue immediately; low worker latency.</w:t>
            </w:r>
          </w:p>
        </w:tc>
      </w:tr>
      <w:tr>
        <w:tc>
          <w:tcPr>
            <w:tcW w:type="dxa" w:w="5083"/>
            <w:vAlign w:val="top"/>
          </w:tcPr>
          <w:p>
            <w:r>
              <w:t>100 concurrent uploads</w:t>
            </w:r>
          </w:p>
        </w:tc>
        <w:tc>
          <w:tcPr>
            <w:tcW w:type="dxa" w:w="5083"/>
            <w:vAlign w:val="top"/>
          </w:tcPr>
          <w:p>
            <w:r>
              <w:t>S3 absorbs bytes; SQS buffers; worker concurrency remains capped.</w:t>
            </w:r>
          </w:p>
        </w:tc>
      </w:tr>
      <w:tr>
        <w:tc>
          <w:tcPr>
            <w:tcW w:type="dxa" w:w="5083"/>
            <w:vAlign w:val="top"/>
          </w:tcPr>
          <w:p>
            <w:r>
              <w:t>1,000 concurrent uploads</w:t>
            </w:r>
          </w:p>
        </w:tc>
        <w:tc>
          <w:tcPr>
            <w:tcW w:type="dxa" w:w="5083"/>
            <w:vAlign w:val="top"/>
          </w:tcPr>
          <w:p>
            <w:r>
              <w:t>No corresponding 1,000-way provider burst; queue depth rises and UI truthfully shows QUEUED.</w:t>
            </w:r>
          </w:p>
        </w:tc>
      </w:tr>
      <w:tr>
        <w:tc>
          <w:tcPr>
            <w:tcW w:type="dxa" w:w="5083"/>
            <w:vAlign w:val="top"/>
          </w:tcPr>
          <w:p>
            <w:r>
              <w:t>10,000+ burst</w:t>
            </w:r>
          </w:p>
        </w:tc>
        <w:tc>
          <w:tcPr>
            <w:tcW w:type="dxa" w:w="5083"/>
            <w:vAlign w:val="top"/>
          </w:tcPr>
          <w:p>
            <w:r>
              <w:t>Control-plane APIs scale separately; SQS absorbs backlog; alarms on oldest message; optional worker scaling within cost/provider quotas.</w:t>
            </w:r>
          </w:p>
        </w:tc>
      </w:tr>
    </w:tbl>
    <w:p/>
    <w:p>
      <w:pPr>
        <w:pStyle w:val="Heading2"/>
      </w:pPr>
      <w:r>
        <w:t>16.3 SLO targets for V1</w:t>
      </w:r>
    </w:p>
    <w:tbl>
      <w:tblPr>
        <w:tblStyle w:val="TableGrid"/>
        <w:tblW w:type="auto" w:w="0"/>
        <w:jc w:val="center"/>
        <w:tblLook w:firstColumn="1" w:firstRow="1" w:lastColumn="0" w:lastRow="0" w:noHBand="0" w:noVBand="1" w:val="04A0"/>
      </w:tblPr>
      <w:tblGrid>
        <w:gridCol w:w="5083"/>
        <w:gridCol w:w="5083"/>
      </w:tblGrid>
      <w:tr>
        <w:tc>
          <w:tcPr>
            <w:tcW w:type="dxa" w:w="5083"/>
            <w:shd w:fill="EDEDED"/>
          </w:tcPr>
          <w:p>
            <w:r>
              <w:rPr>
                <w:b/>
              </w:rPr>
              <w:t>Metric</w:t>
            </w:r>
          </w:p>
        </w:tc>
        <w:tc>
          <w:tcPr>
            <w:tcW w:type="dxa" w:w="5083"/>
            <w:shd w:fill="EDEDED"/>
          </w:tcPr>
          <w:p>
            <w:r>
              <w:rPr>
                <w:b/>
              </w:rPr>
              <w:t>Target / guardrail</w:t>
            </w:r>
          </w:p>
        </w:tc>
      </w:tr>
      <w:tr>
        <w:tc>
          <w:tcPr>
            <w:tcW w:type="dxa" w:w="5083"/>
            <w:vAlign w:val="top"/>
          </w:tcPr>
          <w:p>
            <w:r>
              <w:t>Control-plane API p95</w:t>
            </w:r>
          </w:p>
        </w:tc>
        <w:tc>
          <w:tcPr>
            <w:tcW w:type="dxa" w:w="5083"/>
            <w:vAlign w:val="top"/>
          </w:tcPr>
          <w:p>
            <w:r>
              <w:t>&lt; 500 ms excluding external auth/provider calls</w:t>
            </w:r>
          </w:p>
        </w:tc>
      </w:tr>
      <w:tr>
        <w:tc>
          <w:tcPr>
            <w:tcW w:type="dxa" w:w="5083"/>
            <w:vAlign w:val="top"/>
          </w:tcPr>
          <w:p>
            <w:r>
              <w:t>Presign p95</w:t>
            </w:r>
          </w:p>
        </w:tc>
        <w:tc>
          <w:tcPr>
            <w:tcW w:type="dxa" w:w="5083"/>
            <w:vAlign w:val="top"/>
          </w:tcPr>
          <w:p>
            <w:r>
              <w:t>&lt; 400 ms</w:t>
            </w:r>
          </w:p>
        </w:tc>
      </w:tr>
      <w:tr>
        <w:tc>
          <w:tcPr>
            <w:tcW w:type="dxa" w:w="5083"/>
            <w:vAlign w:val="top"/>
          </w:tcPr>
          <w:p>
            <w:r>
              <w:t>Inventory first server response</w:t>
            </w:r>
          </w:p>
        </w:tc>
        <w:tc>
          <w:tcPr>
            <w:tcW w:type="dxa" w:w="5083"/>
            <w:vAlign w:val="top"/>
          </w:tcPr>
          <w:p>
            <w:r>
              <w:t>&lt; 1 s under normal load</w:t>
            </w:r>
          </w:p>
        </w:tc>
      </w:tr>
      <w:tr>
        <w:tc>
          <w:tcPr>
            <w:tcW w:type="dxa" w:w="5083"/>
            <w:vAlign w:val="top"/>
          </w:tcPr>
          <w:p>
            <w:r>
              <w:t>Upload path</w:t>
            </w:r>
          </w:p>
        </w:tc>
        <w:tc>
          <w:tcPr>
            <w:tcW w:type="dxa" w:w="5083"/>
            <w:vAlign w:val="top"/>
          </w:tcPr>
          <w:p>
            <w:r>
              <w:t>Limited primarily by client↔S3 bandwidth</w:t>
            </w:r>
          </w:p>
        </w:tc>
      </w:tr>
      <w:tr>
        <w:tc>
          <w:tcPr>
            <w:tcW w:type="dxa" w:w="5083"/>
            <w:vAlign w:val="top"/>
          </w:tcPr>
          <w:p>
            <w:r>
              <w:t>Queue age alert</w:t>
            </w:r>
          </w:p>
        </w:tc>
        <w:tc>
          <w:tcPr>
            <w:tcW w:type="dxa" w:w="5083"/>
            <w:vAlign w:val="top"/>
          </w:tcPr>
          <w:p>
            <w:r>
              <w:t>Alert when oldest active image job exceeds product threshold, initially 2–5 min</w:t>
            </w:r>
          </w:p>
        </w:tc>
      </w:tr>
      <w:tr>
        <w:tc>
          <w:tcPr>
            <w:tcW w:type="dxa" w:w="5083"/>
            <w:vAlign w:val="top"/>
          </w:tcPr>
          <w:p>
            <w:r>
              <w:t>Job success rate</w:t>
            </w:r>
          </w:p>
        </w:tc>
        <w:tc>
          <w:tcPr>
            <w:tcW w:type="dxa" w:w="5083"/>
            <w:vAlign w:val="top"/>
          </w:tcPr>
          <w:p>
            <w:r>
              <w:t>Track &gt;= 99% excluding validated user-input failures; tune after production baseline</w:t>
            </w:r>
          </w:p>
        </w:tc>
      </w:tr>
    </w:tbl>
    <w:p/>
    <w:p>
      <w:pPr>
        <w:spacing w:after="80"/>
      </w:pPr>
      <w:r>
        <w:t>These are engineering targets, not provider guarantees. Load tests must establish actual baselines before launch.</w:t>
      </w:r>
    </w:p>
    <w:p>
      <w:pPr>
        <w:pStyle w:val="Heading1"/>
      </w:pPr>
      <w:r>
        <w:t>17. Reliability and failure handling</w:t>
      </w:r>
    </w:p>
    <w:tbl>
      <w:tblPr>
        <w:tblStyle w:val="TableGrid"/>
        <w:tblW w:type="auto" w:w="0"/>
        <w:jc w:val="center"/>
        <w:tblLook w:firstColumn="1" w:firstRow="1" w:lastColumn="0" w:lastRow="0" w:noHBand="0" w:noVBand="1" w:val="04A0"/>
      </w:tblPr>
      <w:tblGrid>
        <w:gridCol w:w="5083"/>
        <w:gridCol w:w="5083"/>
      </w:tblGrid>
      <w:tr>
        <w:tc>
          <w:tcPr>
            <w:tcW w:type="dxa" w:w="5083"/>
            <w:shd w:fill="EDEDED"/>
          </w:tcPr>
          <w:p>
            <w:r>
              <w:rPr>
                <w:b/>
              </w:rPr>
              <w:t>Failure</w:t>
            </w:r>
          </w:p>
        </w:tc>
        <w:tc>
          <w:tcPr>
            <w:tcW w:type="dxa" w:w="5083"/>
            <w:shd w:fill="EDEDED"/>
          </w:tcPr>
          <w:p>
            <w:r>
              <w:rPr>
                <w:b/>
              </w:rPr>
              <w:t>Behavior</w:t>
            </w:r>
          </w:p>
        </w:tc>
      </w:tr>
      <w:tr>
        <w:tc>
          <w:tcPr>
            <w:tcW w:type="dxa" w:w="5083"/>
            <w:vAlign w:val="top"/>
          </w:tcPr>
          <w:p>
            <w:r>
              <w:t>Browser closes during upload</w:t>
            </w:r>
          </w:p>
        </w:tc>
        <w:tc>
          <w:tcPr>
            <w:tcW w:type="dxa" w:w="5083"/>
            <w:vAlign w:val="top"/>
          </w:tcPr>
          <w:p>
            <w:r>
              <w:t>Pending asset expires via cleanup job; no processing charge.</w:t>
            </w:r>
          </w:p>
        </w:tc>
      </w:tr>
      <w:tr>
        <w:tc>
          <w:tcPr>
            <w:tcW w:type="dxa" w:w="5083"/>
            <w:vAlign w:val="top"/>
          </w:tcPr>
          <w:p>
            <w:r>
              <w:t>Duplicate commit</w:t>
            </w:r>
          </w:p>
        </w:tc>
        <w:tc>
          <w:tcPr>
            <w:tcW w:type="dxa" w:w="5083"/>
            <w:vAlign w:val="top"/>
          </w:tcPr>
          <w:p>
            <w:r>
              <w:t>Idempotent; same asset remains committed once.</w:t>
            </w:r>
          </w:p>
        </w:tc>
      </w:tr>
      <w:tr>
        <w:tc>
          <w:tcPr>
            <w:tcW w:type="dxa" w:w="5083"/>
            <w:vAlign w:val="top"/>
          </w:tcPr>
          <w:p>
            <w:r>
              <w:t>Duplicate SQS delivery</w:t>
            </w:r>
          </w:p>
        </w:tc>
        <w:tc>
          <w:tcPr>
            <w:tcW w:type="dxa" w:w="5083"/>
            <w:vAlign w:val="top"/>
          </w:tcPr>
          <w:p>
            <w:r>
              <w:t>Worker conditional claim + terminal-state check prevents duplicate business effects.</w:t>
            </w:r>
          </w:p>
        </w:tc>
      </w:tr>
      <w:tr>
        <w:tc>
          <w:tcPr>
            <w:tcW w:type="dxa" w:w="5083"/>
            <w:vAlign w:val="top"/>
          </w:tcPr>
          <w:p>
            <w:r>
              <w:t>remove.bg 429</w:t>
            </w:r>
          </w:p>
        </w:tc>
        <w:tc>
          <w:tcPr>
            <w:tcW w:type="dxa" w:w="5083"/>
            <w:vAlign w:val="top"/>
          </w:tcPr>
          <w:p>
            <w:r>
              <w:t>Retry with backoff/jitter; queue concurrency may be reduced.</w:t>
            </w:r>
          </w:p>
        </w:tc>
      </w:tr>
      <w:tr>
        <w:tc>
          <w:tcPr>
            <w:tcW w:type="dxa" w:w="5083"/>
            <w:vAlign w:val="top"/>
          </w:tcPr>
          <w:p>
            <w:r>
              <w:t>Provider 5xx/network</w:t>
            </w:r>
          </w:p>
        </w:tc>
        <w:tc>
          <w:tcPr>
            <w:tcW w:type="dxa" w:w="5083"/>
            <w:vAlign w:val="top"/>
          </w:tcPr>
          <w:p>
            <w:r>
              <w:t>Bounded retry; then DLQ/FAILED.</w:t>
            </w:r>
          </w:p>
        </w:tc>
      </w:tr>
      <w:tr>
        <w:tc>
          <w:tcPr>
            <w:tcW w:type="dxa" w:w="5083"/>
            <w:vAlign w:val="top"/>
          </w:tcPr>
          <w:p>
            <w:r>
              <w:t>Invalid/corrupt image</w:t>
            </w:r>
          </w:p>
        </w:tc>
        <w:tc>
          <w:tcPr>
            <w:tcW w:type="dxa" w:w="5083"/>
            <w:vAlign w:val="top"/>
          </w:tcPr>
          <w:p>
            <w:r>
              <w:t>FAILED without blind retries; actionable UI message.</w:t>
            </w:r>
          </w:p>
        </w:tc>
      </w:tr>
      <w:tr>
        <w:tc>
          <w:tcPr>
            <w:tcW w:type="dxa" w:w="5083"/>
            <w:vAlign w:val="top"/>
          </w:tcPr>
          <w:p>
            <w:r>
              <w:t>DB unavailable after provider result</w:t>
            </w:r>
          </w:p>
        </w:tc>
        <w:tc>
          <w:tcPr>
            <w:tcW w:type="dxa" w:w="5083"/>
            <w:vAlign w:val="top"/>
          </w:tcPr>
          <w:p>
            <w:r>
              <w:t>Do not charge twice; retry finalization using job/output idempotency.</w:t>
            </w:r>
          </w:p>
        </w:tc>
      </w:tr>
      <w:tr>
        <w:tc>
          <w:tcPr>
            <w:tcW w:type="dxa" w:w="5083"/>
            <w:vAlign w:val="top"/>
          </w:tcPr>
          <w:p>
            <w:r>
              <w:t>Worker crash</w:t>
            </w:r>
          </w:p>
        </w:tc>
        <w:tc>
          <w:tcPr>
            <w:tcW w:type="dxa" w:w="5083"/>
            <w:vAlign w:val="top"/>
          </w:tcPr>
          <w:p>
            <w:r>
              <w:t>SQS visibility timeout returns message for another attempt.</w:t>
            </w:r>
          </w:p>
        </w:tc>
      </w:tr>
      <w:tr>
        <w:tc>
          <w:tcPr>
            <w:tcW w:type="dxa" w:w="5083"/>
            <w:vAlign w:val="top"/>
          </w:tcPr>
          <w:p>
            <w:r>
              <w:t>DLQ message</w:t>
            </w:r>
          </w:p>
        </w:tc>
        <w:tc>
          <w:tcPr>
            <w:tcW w:type="dxa" w:w="5083"/>
            <w:vAlign w:val="top"/>
          </w:tcPr>
          <w:p>
            <w:r>
              <w:t>Alarm + operational replay procedure after root cause is fixed.</w:t>
            </w:r>
          </w:p>
        </w:tc>
      </w:tr>
    </w:tbl>
    <w:p/>
    <w:p>
      <w:pPr>
        <w:pStyle w:val="Heading2"/>
      </w:pPr>
      <w:r>
        <w:t>17.1 Cleanup jobs</w:t>
      </w:r>
    </w:p>
    <w:p>
      <w:pPr>
        <w:spacing w:after="80"/>
      </w:pPr>
      <w:r>
        <w:t>Schedule cleanup for abandoned PENDING_UPLOAD assets, orphaned temporary outputs, expired sessions and retention policies. Cleanup must be ownership/key-prefix safe and auditable.</w:t>
      </w:r>
    </w:p>
    <w:p>
      <w:pPr>
        <w:pStyle w:val="Heading1"/>
      </w:pPr>
      <w:r>
        <w:t>18. Security</w:t>
      </w:r>
    </w:p>
    <w:p>
      <w:pPr>
        <w:pStyle w:val="ListBullet"/>
        <w:spacing w:after="20"/>
      </w:pPr>
      <w:r>
        <w:t>Least-privilege IAM: web presign role cannot consume SQS; worker role reads originals/writes only expected prefixes and consumes its queue.</w:t>
      </w:r>
    </w:p>
    <w:p>
      <w:pPr>
        <w:pStyle w:val="ListBullet"/>
        <w:spacing w:after="20"/>
      </w:pPr>
      <w:r>
        <w:t>Secrets in Vercel/AWS secret stores, never NEXT_PUBLIC_* or repository files.</w:t>
      </w:r>
    </w:p>
    <w:p>
      <w:pPr>
        <w:pStyle w:val="ListBullet"/>
        <w:spacing w:after="20"/>
      </w:pPr>
      <w:r>
        <w:t>CSRF protections appropriate to cookie-authenticated mutations; Origin/Host validation for sensitive endpoints.</w:t>
      </w:r>
    </w:p>
    <w:p>
      <w:pPr>
        <w:pStyle w:val="ListBullet"/>
        <w:spacing w:after="20"/>
      </w:pPr>
      <w:r>
        <w:t>Rate limits for OTP send/verify, auth starts, presign creation, process submission and retry.</w:t>
      </w:r>
    </w:p>
    <w:p>
      <w:pPr>
        <w:pStyle w:val="ListBullet"/>
        <w:spacing w:after="20"/>
      </w:pPr>
      <w:r>
        <w:t>Webhook signatures verified before parsing business events; raw body retained only as needed for verification/audit.</w:t>
      </w:r>
    </w:p>
    <w:p>
      <w:pPr>
        <w:pStyle w:val="ListBullet"/>
        <w:spacing w:after="20"/>
      </w:pPr>
      <w:r>
        <w:t>Content Security Policy, secure headers, dependency scanning and secret scanning in CI.</w:t>
      </w:r>
    </w:p>
    <w:p>
      <w:pPr>
        <w:pStyle w:val="ListBullet"/>
        <w:spacing w:after="20"/>
      </w:pPr>
      <w:r>
        <w:t>Authorization tests for cross-tenant UUID access are mandatory.</w:t>
      </w:r>
    </w:p>
    <w:p>
      <w:pPr>
        <w:pStyle w:val="ListBullet"/>
        <w:spacing w:after="20"/>
      </w:pPr>
      <w:r>
        <w:t>Do not expose raw S3 bucket URLs, provider keys, internal error stacks or provider diagnostic bodies to clients.</w:t>
      </w:r>
    </w:p>
    <w:p>
      <w:pPr>
        <w:pStyle w:val="Heading1"/>
      </w:pPr>
      <w:r>
        <w:t>19. Observability</w:t>
      </w:r>
    </w:p>
    <w:tbl>
      <w:tblPr>
        <w:tblStyle w:val="TableGrid"/>
        <w:tblW w:type="auto" w:w="0"/>
        <w:jc w:val="center"/>
        <w:tblLook w:firstColumn="1" w:firstRow="1" w:lastColumn="0" w:lastRow="0" w:noHBand="0" w:noVBand="1" w:val="04A0"/>
      </w:tblPr>
      <w:tblGrid>
        <w:gridCol w:w="5083"/>
        <w:gridCol w:w="5083"/>
      </w:tblGrid>
      <w:tr>
        <w:tc>
          <w:tcPr>
            <w:tcW w:type="dxa" w:w="5083"/>
            <w:shd w:fill="EDEDED"/>
          </w:tcPr>
          <w:p>
            <w:r>
              <w:rPr>
                <w:b/>
              </w:rPr>
              <w:t>Signal</w:t>
            </w:r>
          </w:p>
        </w:tc>
        <w:tc>
          <w:tcPr>
            <w:tcW w:type="dxa" w:w="5083"/>
            <w:shd w:fill="EDEDED"/>
          </w:tcPr>
          <w:p>
            <w:r>
              <w:rPr>
                <w:b/>
              </w:rPr>
              <w:t>Required dimensions</w:t>
            </w:r>
          </w:p>
        </w:tc>
      </w:tr>
      <w:tr>
        <w:tc>
          <w:tcPr>
            <w:tcW w:type="dxa" w:w="5083"/>
            <w:vAlign w:val="top"/>
          </w:tcPr>
          <w:p>
            <w:r>
              <w:t>Structured logs</w:t>
            </w:r>
          </w:p>
        </w:tc>
        <w:tc>
          <w:tcPr>
            <w:tcW w:type="dxa" w:w="5083"/>
            <w:vAlign w:val="top"/>
          </w:tcPr>
          <w:p>
            <w:r>
              <w:t>requestId, userId where safe, vehicleId, assetId, jobId, provider, providerRequestId</w:t>
            </w:r>
          </w:p>
        </w:tc>
      </w:tr>
      <w:tr>
        <w:tc>
          <w:tcPr>
            <w:tcW w:type="dxa" w:w="5083"/>
            <w:vAlign w:val="top"/>
          </w:tcPr>
          <w:p>
            <w:r>
              <w:t>Metrics</w:t>
            </w:r>
          </w:p>
        </w:tc>
        <w:tc>
          <w:tcPr>
            <w:tcW w:type="dxa" w:w="5083"/>
            <w:vAlign w:val="top"/>
          </w:tcPr>
          <w:p>
            <w:r>
              <w:t>queue depth, oldest message age, processing latency, provider latency, success/failure/retry rate</w:t>
            </w:r>
          </w:p>
        </w:tc>
      </w:tr>
      <w:tr>
        <w:tc>
          <w:tcPr>
            <w:tcW w:type="dxa" w:w="5083"/>
            <w:vAlign w:val="top"/>
          </w:tcPr>
          <w:p>
            <w:r>
              <w:t>Cost metrics</w:t>
            </w:r>
          </w:p>
        </w:tc>
        <w:tc>
          <w:tcPr>
            <w:tcW w:type="dxa" w:w="5083"/>
            <w:vAlign w:val="top"/>
          </w:tcPr>
          <w:p>
            <w:r>
              <w:t>images processed, provider cost estimate, Lambda duration, storage growth</w:t>
            </w:r>
          </w:p>
        </w:tc>
      </w:tr>
      <w:tr>
        <w:tc>
          <w:tcPr>
            <w:tcW w:type="dxa" w:w="5083"/>
            <w:vAlign w:val="top"/>
          </w:tcPr>
          <w:p>
            <w:r>
              <w:t>Web metrics</w:t>
            </w:r>
          </w:p>
        </w:tc>
        <w:tc>
          <w:tcPr>
            <w:tcW w:type="dxa" w:w="5083"/>
            <w:vAlign w:val="top"/>
          </w:tcPr>
          <w:p>
            <w:r>
              <w:t>route latency, error rate, auth failures, polling volume</w:t>
            </w:r>
          </w:p>
        </w:tc>
      </w:tr>
      <w:tr>
        <w:tc>
          <w:tcPr>
            <w:tcW w:type="dxa" w:w="5083"/>
            <w:vAlign w:val="top"/>
          </w:tcPr>
          <w:p>
            <w:r>
              <w:t>Alerts</w:t>
            </w:r>
          </w:p>
        </w:tc>
        <w:tc>
          <w:tcPr>
            <w:tcW w:type="dxa" w:w="5083"/>
            <w:vAlign w:val="top"/>
          </w:tcPr>
          <w:p>
            <w:r>
              <w:t>DLQ &gt; 0, queue age high, provider 429 spike, job failure spike, worker error rate</w:t>
            </w:r>
          </w:p>
        </w:tc>
      </w:tr>
    </w:tbl>
    <w:p/>
    <w:p>
      <w:pPr>
        <w:spacing w:after="80"/>
      </w:pPr>
      <w:r>
        <w:t>Use correlation IDs end-to-end. Never log session tokens, OTP values, OAuth codes, signed URLs or image bytes.</w:t>
      </w:r>
    </w:p>
    <w:p>
      <w:pPr>
        <w:pStyle w:val="Heading1"/>
      </w:pPr>
      <w:r>
        <w:t>20. Testing strategy</w:t>
      </w:r>
    </w:p>
    <w:p>
      <w:pPr>
        <w:spacing w:after="80"/>
      </w:pPr>
      <w:r>
        <w:t>The approved requirement is interpreted as: every source file containing behavior has a corresponding test in the root tests tree. Pure type declarations, generated files, static token/config barrels and trivial re-exports may be excluded by an explicit allowlist. CI enforces the mapping.</w:t>
      </w:r>
    </w:p>
    <w:p>
      <w:pPr>
        <w:spacing w:after="100"/>
        <w:ind w:left="259"/>
      </w:pPr>
      <w:r>
        <w:rPr>
          <w:rFonts w:ascii="Consolas" w:hAnsi="Consolas"/>
          <w:sz w:val="16"/>
        </w:rPr>
        <w:t>src/features/inventory/vehicle-card.tsx</w:t>
        <w:br/>
        <w:t>tests/unit/features/inventory/vehicle-card.test.tsx</w:t>
        <w:br/>
        <w:br/>
        <w:t>packages/processing/src/removebg.provider.ts</w:t>
        <w:br/>
        <w:t>tests/unit/processing/removebg.provider.test.ts</w:t>
        <w:br/>
        <w:br/>
        <w:t>workers/image-processing/src/handler.ts</w:t>
        <w:br/>
        <w:t>tests/integration/workers/image-processing/handler.test.ts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tcPr>
          <w:p>
            <w:r>
              <w:rPr>
                <w:b/>
              </w:rPr>
              <w:t>Layer</w:t>
            </w:r>
          </w:p>
        </w:tc>
        <w:tc>
          <w:tcPr>
            <w:tcW w:type="dxa" w:w="3389"/>
            <w:shd w:fill="EDEDED"/>
          </w:tcPr>
          <w:p>
            <w:r>
              <w:rPr>
                <w:b/>
              </w:rPr>
              <w:t>Tool/approach</w:t>
            </w:r>
          </w:p>
        </w:tc>
        <w:tc>
          <w:tcPr>
            <w:tcW w:type="dxa" w:w="3389"/>
            <w:shd w:fill="EDEDED"/>
          </w:tcPr>
          <w:p>
            <w:r>
              <w:rPr>
                <w:b/>
              </w:rPr>
              <w:t>Coverage</w:t>
            </w:r>
          </w:p>
        </w:tc>
      </w:tr>
      <w:tr>
        <w:tc>
          <w:tcPr>
            <w:tcW w:type="dxa" w:w="3389"/>
            <w:vAlign w:val="top"/>
          </w:tcPr>
          <w:p>
            <w:r>
              <w:t>Unit</w:t>
            </w:r>
          </w:p>
        </w:tc>
        <w:tc>
          <w:tcPr>
            <w:tcW w:type="dxa" w:w="3389"/>
            <w:vAlign w:val="top"/>
          </w:tcPr>
          <w:p>
            <w:r>
              <w:t>Vitest</w:t>
            </w:r>
          </w:p>
        </w:tc>
        <w:tc>
          <w:tcPr>
            <w:tcW w:type="dxa" w:w="3389"/>
            <w:vAlign w:val="top"/>
          </w:tcPr>
          <w:p>
            <w:r>
              <w:t>services, reducers/stores, schemas, provider normalization, state machine</w:t>
            </w:r>
          </w:p>
        </w:tc>
      </w:tr>
      <w:tr>
        <w:tc>
          <w:tcPr>
            <w:tcW w:type="dxa" w:w="3389"/>
            <w:vAlign w:val="top"/>
          </w:tcPr>
          <w:p>
            <w:r>
              <w:t>Component</w:t>
            </w:r>
          </w:p>
        </w:tc>
        <w:tc>
          <w:tcPr>
            <w:tcW w:type="dxa" w:w="3389"/>
            <w:vAlign w:val="top"/>
          </w:tcPr>
          <w:p>
            <w:r>
              <w:t>React Testing Library + Vitest</w:t>
            </w:r>
          </w:p>
        </w:tc>
        <w:tc>
          <w:tcPr>
            <w:tcW w:type="dxa" w:w="3389"/>
            <w:vAlign w:val="top"/>
          </w:tcPr>
          <w:p>
            <w:r>
              <w:t>interactive components, modal steps, accessibility/error states</w:t>
            </w:r>
          </w:p>
        </w:tc>
      </w:tr>
      <w:tr>
        <w:tc>
          <w:tcPr>
            <w:tcW w:type="dxa" w:w="3389"/>
            <w:vAlign w:val="top"/>
          </w:tcPr>
          <w:p>
            <w:r>
              <w:t>Integration</w:t>
            </w:r>
          </w:p>
        </w:tc>
        <w:tc>
          <w:tcPr>
            <w:tcW w:type="dxa" w:w="3389"/>
            <w:vAlign w:val="top"/>
          </w:tcPr>
          <w:p>
            <w:r>
              <w:t>Vitest + real PostgreSQL + S3/SQS-compatible test strategy/mocks where appropriate</w:t>
            </w:r>
          </w:p>
        </w:tc>
        <w:tc>
          <w:tcPr>
            <w:tcW w:type="dxa" w:w="3389"/>
            <w:vAlign w:val="top"/>
          </w:tcPr>
          <w:p>
            <w:r>
              <w:t>repositories, transactions, job idempotency</w:t>
            </w:r>
          </w:p>
        </w:tc>
      </w:tr>
      <w:tr>
        <w:tc>
          <w:tcPr>
            <w:tcW w:type="dxa" w:w="3389"/>
            <w:vAlign w:val="top"/>
          </w:tcPr>
          <w:p>
            <w:r>
              <w:t>E2E</w:t>
            </w:r>
          </w:p>
        </w:tc>
        <w:tc>
          <w:tcPr>
            <w:tcW w:type="dxa" w:w="3389"/>
            <w:vAlign w:val="top"/>
          </w:tcPr>
          <w:p>
            <w:r>
              <w:t>Playwright</w:t>
            </w:r>
          </w:p>
        </w:tc>
        <w:tc>
          <w:tcPr>
            <w:tcW w:type="dxa" w:w="3389"/>
            <w:vAlign w:val="top"/>
          </w:tcPr>
          <w:p>
            <w:r>
              <w:t>auth stubs/test identities, vehicle wizard, upload, processing lifecycle, inventory/result flows</w:t>
            </w:r>
          </w:p>
        </w:tc>
      </w:tr>
      <w:tr>
        <w:tc>
          <w:tcPr>
            <w:tcW w:type="dxa" w:w="3389"/>
            <w:vAlign w:val="top"/>
          </w:tcPr>
          <w:p>
            <w:r>
              <w:t>Contract</w:t>
            </w:r>
          </w:p>
        </w:tc>
        <w:tc>
          <w:tcPr>
            <w:tcW w:type="dxa" w:w="3389"/>
            <w:vAlign w:val="top"/>
          </w:tcPr>
          <w:p>
            <w:r>
              <w:t>Zod fixtures</w:t>
            </w:r>
          </w:p>
        </w:tc>
        <w:tc>
          <w:tcPr>
            <w:tcW w:type="dxa" w:w="3389"/>
            <w:vAlign w:val="top"/>
          </w:tcPr>
          <w:p>
            <w:r>
              <w:t>worker messages, API envelopes, provider adapter normalization</w:t>
            </w:r>
          </w:p>
        </w:tc>
      </w:tr>
    </w:tbl>
    <w:p/>
    <w:p>
      <w:pPr>
        <w:pStyle w:val="Heading2"/>
      </w:pPr>
      <w:r>
        <w:t>20.1 Required critical tests</w:t>
      </w:r>
    </w:p>
    <w:p>
      <w:pPr>
        <w:pStyle w:val="ListBullet"/>
        <w:spacing w:after="20"/>
      </w:pPr>
      <w:r>
        <w:t>Cross-user asset/job access is rejected.</w:t>
      </w:r>
    </w:p>
    <w:p>
      <w:pPr>
        <w:pStyle w:val="ListBullet"/>
        <w:spacing w:after="20"/>
      </w:pPr>
      <w:r>
        <w:t>Duplicate queue delivery cannot double-charge usage.</w:t>
      </w:r>
    </w:p>
    <w:p>
      <w:pPr>
        <w:pStyle w:val="ListBullet"/>
        <w:spacing w:after="20"/>
      </w:pPr>
      <w:r>
        <w:t>Duplicate webhook cannot double-complete or double-charge.</w:t>
      </w:r>
    </w:p>
    <w:p>
      <w:pPr>
        <w:pStyle w:val="ListBullet"/>
        <w:spacing w:after="20"/>
      </w:pPr>
      <w:r>
        <w:t>Commit fails if S3 object is missing or violates expected metadata.</w:t>
      </w:r>
    </w:p>
    <w:p>
      <w:pPr>
        <w:pStyle w:val="ListBullet"/>
        <w:spacing w:after="20"/>
      </w:pPr>
      <w:r>
        <w:t>Provider 429/5xx follows retry policy; invalid image does not retry indefinitely.</w:t>
      </w:r>
    </w:p>
    <w:p>
      <w:pPr>
        <w:pStyle w:val="ListBullet"/>
        <w:spacing w:after="20"/>
      </w:pPr>
      <w:r>
        <w:t>Polling stops on terminal state and batches multiple jobs.</w:t>
      </w:r>
    </w:p>
    <w:p>
      <w:pPr>
        <w:pStyle w:val="ListBullet"/>
        <w:spacing w:after="20"/>
      </w:pPr>
      <w:r>
        <w:t>Wizard preserves successful uploads when another file fails.</w:t>
      </w:r>
    </w:p>
    <w:p>
      <w:pPr>
        <w:pStyle w:val="ListBullet"/>
        <w:spacing w:after="20"/>
      </w:pPr>
      <w:r>
        <w:t>Plan capacity is enforced server-side, not only hidden in UI.</w:t>
      </w:r>
    </w:p>
    <w:p>
      <w:pPr>
        <w:pStyle w:val="Heading1"/>
      </w:pPr>
      <w:r>
        <w:t>21. CI/CD and deployment</w:t>
      </w:r>
    </w:p>
    <w:p>
      <w:pPr>
        <w:pStyle w:val="Heading2"/>
      </w:pPr>
      <w:r>
        <w:t>21.1 Pull request pipeline</w:t>
      </w:r>
    </w:p>
    <w:p>
      <w:pPr>
        <w:spacing w:after="100"/>
        <w:ind w:left="259"/>
      </w:pPr>
      <w:r>
        <w:rPr>
          <w:rFonts w:ascii="Consolas" w:hAnsi="Consolas"/>
          <w:sz w:val="16"/>
        </w:rPr>
        <w:t>pnpm install --frozen-lockfile</w:t>
        <w:br/>
        <w:t xml:space="preserve">  ↓</w:t>
        <w:br/>
        <w:t>turbo lint</w:t>
        <w:br/>
        <w:t xml:space="preserve">  ↓</w:t>
        <w:br/>
        <w:t>turbo typecheck</w:t>
        <w:br/>
        <w:t xml:space="preserve">  ↓</w:t>
        <w:br/>
        <w:t>turbo test</w:t>
        <w:br/>
        <w:t xml:space="preserve">  ↓</w:t>
        <w:br/>
        <w:t>integration tests (PostgreSQL service)</w:t>
        <w:br/>
        <w:t xml:space="preserve">  ↓</w:t>
        <w:br/>
        <w:t>Prisma validate + migration checks</w:t>
        <w:br/>
        <w:t xml:space="preserve">  ↓</w:t>
        <w:br/>
        <w:t>turbo build</w:t>
        <w:br/>
        <w:t xml:space="preserve">  ↓</w:t>
        <w:br/>
        <w:t>Playwright</w:t>
        <w:br/>
        <w:t xml:space="preserve">  ↓</w:t>
        <w:br/>
        <w:t>security: dependency/secret/static checks</w:t>
        <w:br/>
        <w:t xml:space="preserve">  ↓</w:t>
        <w:br/>
        <w:t>required status checks → merge</w:t>
      </w:r>
    </w:p>
    <w:p>
      <w:pPr>
        <w:pStyle w:val="Heading2"/>
      </w:pPr>
      <w:r>
        <w:t>21.2 Vercel</w:t>
      </w:r>
    </w:p>
    <w:p>
      <w:pPr>
        <w:spacing w:after="80"/>
      </w:pPr>
      <w:r>
        <w:t>apps/web deploys to Vercel. Pull requests receive preview deployments; main deploys production only after required CI checks. Production environment variables are managed in Vercel and separated from preview/development.</w:t>
      </w:r>
    </w:p>
    <w:p>
      <w:pPr>
        <w:pStyle w:val="Heading2"/>
      </w:pPr>
      <w:r>
        <w:t>21.3 AWS</w:t>
      </w:r>
    </w:p>
    <w:p>
      <w:pPr>
        <w:spacing w:after="80"/>
      </w:pPr>
      <w:r>
        <w:t>Provision S3, SQS, DLQ, Lambda, IAM, log groups and alarms through infrastructure as code. The image-processing worker is independently deployable from the Next.js application. Artifact/version identifiers must be traceable to the Git commit.</w:t>
      </w:r>
    </w:p>
    <w:p>
      <w:pPr>
        <w:pStyle w:val="Heading2"/>
      </w:pPr>
      <w:r>
        <w:t>21.4 Database migrations</w:t>
      </w:r>
    </w:p>
    <w:p>
      <w:pPr>
        <w:spacing w:after="80"/>
      </w:pPr>
      <w:r>
        <w:t>Use Prisma migrations committed to source control. Production migration execution is an explicit deployment step with backward-compatible sequencing. Do not rely on application startup to mutate production schema.</w:t>
      </w:r>
    </w:p>
    <w:p>
      <w:pPr>
        <w:pStyle w:val="Heading1"/>
      </w:pPr>
      <w:r>
        <w:t>22. Environment configuration</w:t>
      </w:r>
    </w:p>
    <w:p>
      <w:pPr>
        <w:spacing w:after="100"/>
        <w:ind w:left="259"/>
      </w:pPr>
      <w:r>
        <w:rPr>
          <w:rFonts w:ascii="Consolas" w:hAnsi="Consolas"/>
          <w:sz w:val="16"/>
        </w:rPr>
        <w:t>NODE_ENV</w:t>
        <w:br/>
        <w:t>DATABASE_URL</w:t>
        <w:br/>
        <w:t>SESSION_SECRET</w:t>
        <w:br/>
        <w:br/>
        <w:t>GOOGLE_CLIENT_ID</w:t>
        <w:br/>
        <w:t>GOOGLE_CLIENT_SECRET</w:t>
        <w:br/>
        <w:t>GOOGLE_REDIRECT_URI</w:t>
        <w:br/>
        <w:br/>
        <w:t>MSG91_AUTH_KEY</w:t>
        <w:br/>
        <w:t>MSG91_TEMPLATE_ID</w:t>
        <w:br/>
        <w:br/>
        <w:t>RESEND_API_KEY</w:t>
        <w:br/>
        <w:t>EMAIL_FROM</w:t>
        <w:br/>
        <w:br/>
        <w:t>AWS_REGION</w:t>
        <w:br/>
        <w:t>S3_BUCKET</w:t>
        <w:br/>
        <w:t>SQS_IMAGE_QUEUE_URL</w:t>
        <w:br/>
        <w:t>SQS_EMAIL_QUEUE_URL</w:t>
        <w:br/>
        <w:br/>
        <w:t>BACKGROUND_REMOVAL_PROVIDER=removebg</w:t>
        <w:br/>
        <w:t>REMOVEBG_API_KEY</w:t>
        <w:br/>
        <w:br/>
        <w:t># future</w:t>
        <w:br/>
        <w:t>FAL_KEY</w:t>
        <w:br/>
        <w:t>SELF_HOSTED_BIREFNET_ENDPOINT</w:t>
      </w:r>
    </w:p>
    <w:p>
      <w:pPr>
        <w:spacing w:after="80"/>
      </w:pPr>
      <w:r>
        <w:t>Validate environment variables with Zod at process startup/build boundary. Client-safe configuration must be explicitly separated from server secrets.</w:t>
      </w:r>
    </w:p>
    <w:p>
      <w:pPr>
        <w:pStyle w:val="Heading1"/>
      </w:pPr>
      <w:r>
        <w:t>23. Implementation phases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tcPr>
          <w:p>
            <w:r>
              <w:rPr>
                <w:b/>
              </w:rPr>
              <w:t>Phase</w:t>
            </w:r>
          </w:p>
        </w:tc>
        <w:tc>
          <w:tcPr>
            <w:tcW w:type="dxa" w:w="3389"/>
            <w:shd w:fill="EDEDED"/>
          </w:tcPr>
          <w:p>
            <w:r>
              <w:rPr>
                <w:b/>
              </w:rPr>
              <w:t>Deliverable</w:t>
            </w:r>
          </w:p>
        </w:tc>
        <w:tc>
          <w:tcPr>
            <w:tcW w:type="dxa" w:w="3389"/>
            <w:shd w:fill="EDEDED"/>
          </w:tcPr>
          <w:p>
            <w:r>
              <w:rPr>
                <w:b/>
              </w:rPr>
              <w:t>Exit criteria</w:t>
            </w:r>
          </w:p>
        </w:tc>
      </w:tr>
      <w:tr>
        <w:tc>
          <w:tcPr>
            <w:tcW w:type="dxa" w:w="3389"/>
            <w:vAlign w:val="top"/>
          </w:tcPr>
          <w:p>
            <w:r>
              <w:t>0</w:t>
            </w:r>
          </w:p>
        </w:tc>
        <w:tc>
          <w:tcPr>
            <w:tcW w:type="dxa" w:w="3389"/>
            <w:vAlign w:val="top"/>
          </w:tcPr>
          <w:p>
            <w:r>
              <w:t>Screenshot/UI reverse engineering</w:t>
            </w:r>
          </w:p>
        </w:tc>
        <w:tc>
          <w:tcPr>
            <w:tcW w:type="dxa" w:w="3389"/>
            <w:vAlign w:val="top"/>
          </w:tcPr>
          <w:p>
            <w:r>
              <w:t>Routes, shared patterns and modal flow documented.</w:t>
            </w:r>
          </w:p>
        </w:tc>
      </w:tr>
      <w:tr>
        <w:tc>
          <w:tcPr>
            <w:tcW w:type="dxa" w:w="3389"/>
            <w:vAlign w:val="top"/>
          </w:tcPr>
          <w:p>
            <w:r>
              <w:t>1</w:t>
            </w:r>
          </w:p>
        </w:tc>
        <w:tc>
          <w:tcPr>
            <w:tcW w:type="dxa" w:w="3389"/>
            <w:vAlign w:val="top"/>
          </w:tcPr>
          <w:p>
            <w:r>
              <w:t>Monorepo foundation</w:t>
            </w:r>
          </w:p>
        </w:tc>
        <w:tc>
          <w:tcPr>
            <w:tcW w:type="dxa" w:w="3389"/>
            <w:vAlign w:val="top"/>
          </w:tcPr>
          <w:p>
            <w:r>
              <w:t>Turborepo/pnpm, Next.js, packages, lint/typecheck/test/build green.</w:t>
            </w:r>
          </w:p>
        </w:tc>
      </w:tr>
      <w:tr>
        <w:tc>
          <w:tcPr>
            <w:tcW w:type="dxa" w:w="3389"/>
            <w:vAlign w:val="top"/>
          </w:tcPr>
          <w:p>
            <w:r>
              <w:t>2</w:t>
            </w:r>
          </w:p>
        </w:tc>
        <w:tc>
          <w:tcPr>
            <w:tcW w:type="dxa" w:w="3389"/>
            <w:vAlign w:val="top"/>
          </w:tcPr>
          <w:p>
            <w:r>
              <w:t>Design system</w:t>
            </w:r>
          </w:p>
        </w:tc>
        <w:tc>
          <w:tcPr>
            <w:tcW w:type="dxa" w:w="3389"/>
            <w:vAlign w:val="top"/>
          </w:tcPr>
          <w:p>
            <w:r>
              <w:t>Shared primitives reproduce screenshot language.</w:t>
            </w:r>
          </w:p>
        </w:tc>
      </w:tr>
      <w:tr>
        <w:tc>
          <w:tcPr>
            <w:tcW w:type="dxa" w:w="3389"/>
            <w:vAlign w:val="top"/>
          </w:tcPr>
          <w:p>
            <w:r>
              <w:t>3</w:t>
            </w:r>
          </w:p>
        </w:tc>
        <w:tc>
          <w:tcPr>
            <w:tcW w:type="dxa" w:w="3389"/>
            <w:vAlign w:val="top"/>
          </w:tcPr>
          <w:p>
            <w:r>
              <w:t>Database/domain</w:t>
            </w:r>
          </w:p>
        </w:tc>
        <w:tc>
          <w:tcPr>
            <w:tcW w:type="dxa" w:w="3389"/>
            <w:vAlign w:val="top"/>
          </w:tcPr>
          <w:p>
            <w:r>
              <w:t>Prisma schema, migrations, repositories and transaction tests.</w:t>
            </w:r>
          </w:p>
        </w:tc>
      </w:tr>
      <w:tr>
        <w:tc>
          <w:tcPr>
            <w:tcW w:type="dxa" w:w="3389"/>
            <w:vAlign w:val="top"/>
          </w:tcPr>
          <w:p>
            <w:r>
              <w:t>4</w:t>
            </w:r>
          </w:p>
        </w:tc>
        <w:tc>
          <w:tcPr>
            <w:tcW w:type="dxa" w:w="3389"/>
            <w:vAlign w:val="top"/>
          </w:tcPr>
          <w:p>
            <w:r>
              <w:t>Authentication</w:t>
            </w:r>
          </w:p>
        </w:tc>
        <w:tc>
          <w:tcPr>
            <w:tcW w:type="dxa" w:w="3389"/>
            <w:vAlign w:val="top"/>
          </w:tcPr>
          <w:p>
            <w:r>
              <w:t>Google + MSG91 identities and opaque sessions.</w:t>
            </w:r>
          </w:p>
        </w:tc>
      </w:tr>
      <w:tr>
        <w:tc>
          <w:tcPr>
            <w:tcW w:type="dxa" w:w="3389"/>
            <w:vAlign w:val="top"/>
          </w:tcPr>
          <w:p>
            <w:r>
              <w:t>5</w:t>
            </w:r>
          </w:p>
        </w:tc>
        <w:tc>
          <w:tcPr>
            <w:tcW w:type="dxa" w:w="3389"/>
            <w:vAlign w:val="top"/>
          </w:tcPr>
          <w:p>
            <w:r>
              <w:t>Upload pipeline</w:t>
            </w:r>
          </w:p>
        </w:tc>
        <w:tc>
          <w:tcPr>
            <w:tcW w:type="dxa" w:w="3389"/>
            <w:vAlign w:val="top"/>
          </w:tcPr>
          <w:p>
            <w:r>
              <w:t>Presign/direct S3/commit with validation.</w:t>
            </w:r>
          </w:p>
        </w:tc>
      </w:tr>
      <w:tr>
        <w:tc>
          <w:tcPr>
            <w:tcW w:type="dxa" w:w="3389"/>
            <w:vAlign w:val="top"/>
          </w:tcPr>
          <w:p>
            <w:r>
              <w:t>6</w:t>
            </w:r>
          </w:p>
        </w:tc>
        <w:tc>
          <w:tcPr>
            <w:tcW w:type="dxa" w:w="3389"/>
            <w:vAlign w:val="top"/>
          </w:tcPr>
          <w:p>
            <w:r>
              <w:t>Async jobs</w:t>
            </w:r>
          </w:p>
        </w:tc>
        <w:tc>
          <w:tcPr>
            <w:tcW w:type="dxa" w:w="3389"/>
            <w:vAlign w:val="top"/>
          </w:tcPr>
          <w:p>
            <w:r>
              <w:t>SQS/Lambda/DLQ/idempotent worker.</w:t>
            </w:r>
          </w:p>
        </w:tc>
      </w:tr>
      <w:tr>
        <w:tc>
          <w:tcPr>
            <w:tcW w:type="dxa" w:w="3389"/>
            <w:vAlign w:val="top"/>
          </w:tcPr>
          <w:p>
            <w:r>
              <w:t>7</w:t>
            </w:r>
          </w:p>
        </w:tc>
        <w:tc>
          <w:tcPr>
            <w:tcW w:type="dxa" w:w="3389"/>
            <w:vAlign w:val="top"/>
          </w:tcPr>
          <w:p>
            <w:r>
              <w:t>Provider abstraction</w:t>
            </w:r>
          </w:p>
        </w:tc>
        <w:tc>
          <w:tcPr>
            <w:tcW w:type="dxa" w:w="3389"/>
            <w:vAlign w:val="top"/>
          </w:tcPr>
          <w:p>
            <w:r>
              <w:t>remove.bg adapter behind stable port.</w:t>
            </w:r>
          </w:p>
        </w:tc>
      </w:tr>
      <w:tr>
        <w:tc>
          <w:tcPr>
            <w:tcW w:type="dxa" w:w="3389"/>
            <w:vAlign w:val="top"/>
          </w:tcPr>
          <w:p>
            <w:r>
              <w:t>8</w:t>
            </w:r>
          </w:p>
        </w:tc>
        <w:tc>
          <w:tcPr>
            <w:tcW w:type="dxa" w:w="3389"/>
            <w:vAlign w:val="top"/>
          </w:tcPr>
          <w:p>
            <w:r>
              <w:t>Processing UX</w:t>
            </w:r>
          </w:p>
        </w:tc>
        <w:tc>
          <w:tcPr>
            <w:tcW w:type="dxa" w:w="3389"/>
            <w:vAlign w:val="top"/>
          </w:tcPr>
          <w:p>
            <w:r>
              <w:t>Zustand upload state + adaptive batched polling/status bar.</w:t>
            </w:r>
          </w:p>
        </w:tc>
      </w:tr>
      <w:tr>
        <w:tc>
          <w:tcPr>
            <w:tcW w:type="dxa" w:w="3389"/>
            <w:vAlign w:val="top"/>
          </w:tcPr>
          <w:p>
            <w:r>
              <w:t>9</w:t>
            </w:r>
          </w:p>
        </w:tc>
        <w:tc>
          <w:tcPr>
            <w:tcW w:type="dxa" w:w="3389"/>
            <w:vAlign w:val="top"/>
          </w:tcPr>
          <w:p>
            <w:r>
              <w:t>Product screens</w:t>
            </w:r>
          </w:p>
        </w:tc>
        <w:tc>
          <w:tcPr>
            <w:tcW w:type="dxa" w:w="3389"/>
            <w:vAlign w:val="top"/>
          </w:tcPr>
          <w:p>
            <w:r>
              <w:t>Homepage, dashboard, inventory, portfolio, billing, profile.</w:t>
            </w:r>
          </w:p>
        </w:tc>
      </w:tr>
      <w:tr>
        <w:tc>
          <w:tcPr>
            <w:tcW w:type="dxa" w:w="3389"/>
            <w:vAlign w:val="top"/>
          </w:tcPr>
          <w:p>
            <w:r>
              <w:t>10</w:t>
            </w:r>
          </w:p>
        </w:tc>
        <w:tc>
          <w:tcPr>
            <w:tcW w:type="dxa" w:w="3389"/>
            <w:vAlign w:val="top"/>
          </w:tcPr>
          <w:p>
            <w:r>
              <w:t>Email</w:t>
            </w:r>
          </w:p>
        </w:tc>
        <w:tc>
          <w:tcPr>
            <w:tcW w:type="dxa" w:w="3389"/>
            <w:vAlign w:val="top"/>
          </w:tcPr>
          <w:p>
            <w:r>
              <w:t>Resend through async queue.</w:t>
            </w:r>
          </w:p>
        </w:tc>
      </w:tr>
      <w:tr>
        <w:tc>
          <w:tcPr>
            <w:tcW w:type="dxa" w:w="3389"/>
            <w:vAlign w:val="top"/>
          </w:tcPr>
          <w:p>
            <w:r>
              <w:t>11</w:t>
            </w:r>
          </w:p>
        </w:tc>
        <w:tc>
          <w:tcPr>
            <w:tcW w:type="dxa" w:w="3389"/>
            <w:vAlign w:val="top"/>
          </w:tcPr>
          <w:p>
            <w:r>
              <w:t>Security hardening</w:t>
            </w:r>
          </w:p>
        </w:tc>
        <w:tc>
          <w:tcPr>
            <w:tcW w:type="dxa" w:w="3389"/>
            <w:vAlign w:val="top"/>
          </w:tcPr>
          <w:p>
            <w:r>
              <w:t>Ownership, limits, webhook verification, headers, secret policy.</w:t>
            </w:r>
          </w:p>
        </w:tc>
      </w:tr>
      <w:tr>
        <w:tc>
          <w:tcPr>
            <w:tcW w:type="dxa" w:w="3389"/>
            <w:vAlign w:val="top"/>
          </w:tcPr>
          <w:p>
            <w:r>
              <w:t>12</w:t>
            </w:r>
          </w:p>
        </w:tc>
        <w:tc>
          <w:tcPr>
            <w:tcW w:type="dxa" w:w="3389"/>
            <w:vAlign w:val="top"/>
          </w:tcPr>
          <w:p>
            <w:r>
              <w:t>Performance</w:t>
            </w:r>
          </w:p>
        </w:tc>
        <w:tc>
          <w:tcPr>
            <w:tcW w:type="dxa" w:w="3389"/>
            <w:vAlign w:val="top"/>
          </w:tcPr>
          <w:p>
            <w:r>
              <w:t>Indexes, previews, connection pooling, load tests.</w:t>
            </w:r>
          </w:p>
        </w:tc>
      </w:tr>
      <w:tr>
        <w:tc>
          <w:tcPr>
            <w:tcW w:type="dxa" w:w="3389"/>
            <w:vAlign w:val="top"/>
          </w:tcPr>
          <w:p>
            <w:r>
              <w:t>13</w:t>
            </w:r>
          </w:p>
        </w:tc>
        <w:tc>
          <w:tcPr>
            <w:tcW w:type="dxa" w:w="3389"/>
            <w:vAlign w:val="top"/>
          </w:tcPr>
          <w:p>
            <w:r>
              <w:t>Observability</w:t>
            </w:r>
          </w:p>
        </w:tc>
        <w:tc>
          <w:tcPr>
            <w:tcW w:type="dxa" w:w="3389"/>
            <w:vAlign w:val="top"/>
          </w:tcPr>
          <w:p>
            <w:r>
              <w:t>Structured logs, metrics, alerts, correlation.</w:t>
            </w:r>
          </w:p>
        </w:tc>
      </w:tr>
      <w:tr>
        <w:tc>
          <w:tcPr>
            <w:tcW w:type="dxa" w:w="3389"/>
            <w:vAlign w:val="top"/>
          </w:tcPr>
          <w:p>
            <w:r>
              <w:t>14</w:t>
            </w:r>
          </w:p>
        </w:tc>
        <w:tc>
          <w:tcPr>
            <w:tcW w:type="dxa" w:w="3389"/>
            <w:vAlign w:val="top"/>
          </w:tcPr>
          <w:p>
            <w:r>
              <w:t>Test completion</w:t>
            </w:r>
          </w:p>
        </w:tc>
        <w:tc>
          <w:tcPr>
            <w:tcW w:type="dxa" w:w="3389"/>
            <w:vAlign w:val="top"/>
          </w:tcPr>
          <w:p>
            <w:r>
              <w:t>Unit/component/integration/E2E + behavior-file mapping.</w:t>
            </w:r>
          </w:p>
        </w:tc>
      </w:tr>
      <w:tr>
        <w:tc>
          <w:tcPr>
            <w:tcW w:type="dxa" w:w="3389"/>
            <w:vAlign w:val="top"/>
          </w:tcPr>
          <w:p>
            <w:r>
              <w:t>15</w:t>
            </w:r>
          </w:p>
        </w:tc>
        <w:tc>
          <w:tcPr>
            <w:tcW w:type="dxa" w:w="3389"/>
            <w:vAlign w:val="top"/>
          </w:tcPr>
          <w:p>
            <w:r>
              <w:t>CI/CD</w:t>
            </w:r>
          </w:p>
        </w:tc>
        <w:tc>
          <w:tcPr>
            <w:tcW w:type="dxa" w:w="3389"/>
            <w:vAlign w:val="top"/>
          </w:tcPr>
          <w:p>
            <w:r>
              <w:t>Required GitHub checks, Vercel, worker deploy.</w:t>
            </w:r>
          </w:p>
        </w:tc>
      </w:tr>
      <w:tr>
        <w:tc>
          <w:tcPr>
            <w:tcW w:type="dxa" w:w="3389"/>
            <w:vAlign w:val="top"/>
          </w:tcPr>
          <w:p>
            <w:r>
              <w:t>16</w:t>
            </w:r>
          </w:p>
        </w:tc>
        <w:tc>
          <w:tcPr>
            <w:tcW w:type="dxa" w:w="3389"/>
            <w:vAlign w:val="top"/>
          </w:tcPr>
          <w:p>
            <w:r>
              <w:t>Production hardening</w:t>
            </w:r>
          </w:p>
        </w:tc>
        <w:tc>
          <w:tcPr>
            <w:tcW w:type="dxa" w:w="3389"/>
            <w:vAlign w:val="top"/>
          </w:tcPr>
          <w:p>
            <w:r>
              <w:t>Cleanup, replay runbook, backups, alarms.</w:t>
            </w:r>
          </w:p>
        </w:tc>
      </w:tr>
      <w:tr>
        <w:tc>
          <w:tcPr>
            <w:tcW w:type="dxa" w:w="3389"/>
            <w:vAlign w:val="top"/>
          </w:tcPr>
          <w:p>
            <w:r>
              <w:t>17</w:t>
            </w:r>
          </w:p>
        </w:tc>
        <w:tc>
          <w:tcPr>
            <w:tcW w:type="dxa" w:w="3389"/>
            <w:vAlign w:val="top"/>
          </w:tcPr>
          <w:p>
            <w:r>
              <w:t>BiRefNet readiness</w:t>
            </w:r>
          </w:p>
        </w:tc>
        <w:tc>
          <w:tcPr>
            <w:tcW w:type="dxa" w:w="3389"/>
            <w:vAlign w:val="top"/>
          </w:tcPr>
          <w:p>
            <w:r>
              <w:t>Provider swap demonstrated without product-layer changes.</w:t>
            </w:r>
          </w:p>
        </w:tc>
      </w:tr>
    </w:tbl>
    <w:p/>
    <w:p>
      <w:pPr>
        <w:pStyle w:val="Heading1"/>
      </w:pPr>
      <w:r>
        <w:t>24. Acceptance criteria</w:t>
      </w:r>
    </w:p>
    <w:p>
      <w:pPr>
        <w:pStyle w:val="ListBullet"/>
        <w:spacing w:after="20"/>
      </w:pPr>
      <w:r>
        <w:t>The implementation visually follows the supplied screenshots at agreed desktop breakpoints and has coherent responsive behavior.</w:t>
      </w:r>
    </w:p>
    <w:p>
      <w:pPr>
        <w:pStyle w:val="ListBullet"/>
        <w:spacing w:after="20"/>
      </w:pPr>
      <w:r>
        <w:t>A user can authenticate with Google or MSG91 phone OTP and receives the same account/session model.</w:t>
      </w:r>
    </w:p>
    <w:p>
      <w:pPr>
        <w:pStyle w:val="ListBullet"/>
        <w:spacing w:after="20"/>
      </w:pPr>
      <w:r>
        <w:t>A user can create a vehicle, upload multiple images directly to private S3, choose treatment, submit processing and leave the page safely.</w:t>
      </w:r>
    </w:p>
    <w:p>
      <w:pPr>
        <w:pStyle w:val="ListBullet"/>
        <w:spacing w:after="20"/>
      </w:pPr>
      <w:r>
        <w:t>Image processing is never executed synchronously inside a user request.</w:t>
      </w:r>
    </w:p>
    <w:p>
      <w:pPr>
        <w:pStyle w:val="ListBullet"/>
        <w:spacing w:after="20"/>
      </w:pPr>
      <w:r>
        <w:t>SQS buffers jobs and the worker is idempotent under duplicate delivery.</w:t>
      </w:r>
    </w:p>
    <w:p>
      <w:pPr>
        <w:pStyle w:val="ListBullet"/>
        <w:spacing w:after="20"/>
      </w:pPr>
      <w:r>
        <w:t>remove.bg is accessed only through BackgroundRemovalProvider and can be replaced by fal.ai/self-hosted BiRefNet without changing UI/domain contracts.</w:t>
      </w:r>
    </w:p>
    <w:p>
      <w:pPr>
        <w:pStyle w:val="ListBullet"/>
        <w:spacing w:after="20"/>
      </w:pPr>
      <w:r>
        <w:t>The UI shows truthful upload/queued/processing/completed/failed states using adaptive batched polling.</w:t>
      </w:r>
    </w:p>
    <w:p>
      <w:pPr>
        <w:pStyle w:val="ListBullet"/>
        <w:spacing w:after="20"/>
      </w:pPr>
      <w:r>
        <w:t>Processed outputs are stored under immutable S3 keys and private access is authorized through signed URLs.</w:t>
      </w:r>
    </w:p>
    <w:p>
      <w:pPr>
        <w:pStyle w:val="ListBullet"/>
        <w:spacing w:after="20"/>
      </w:pPr>
      <w:r>
        <w:t>Usage is created exactly once for completed billable work and powers Usage &amp; Billing summaries.</w:t>
      </w:r>
    </w:p>
    <w:p>
      <w:pPr>
        <w:pStyle w:val="ListBullet"/>
        <w:spacing w:after="20"/>
      </w:pPr>
      <w:r>
        <w:t>Resend email work is asynchronous.</w:t>
      </w:r>
    </w:p>
    <w:p>
      <w:pPr>
        <w:pStyle w:val="ListBullet"/>
        <w:spacing w:after="20"/>
      </w:pPr>
      <w:r>
        <w:t>All behavioral source files have corresponding tests unless explicitly allowlisted; critical integration/E2E paths pass in CI.</w:t>
      </w:r>
    </w:p>
    <w:p>
      <w:pPr>
        <w:pStyle w:val="ListBullet"/>
        <w:spacing w:after="20"/>
      </w:pPr>
      <w:r>
        <w:t>GitHub Actions gates merges; Vercel deploys the Next.js app; AWS worker/storage infrastructure is independently deployable and observable.</w:t>
      </w:r>
    </w:p>
    <w:p>
      <w:pPr>
        <w:pStyle w:val="Heading1"/>
      </w:pPr>
      <w:r>
        <w:t>25. Architecture decisions record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tcPr>
          <w:p>
            <w:r>
              <w:rPr>
                <w:b/>
              </w:rPr>
              <w:t>ADR</w:t>
            </w:r>
          </w:p>
        </w:tc>
        <w:tc>
          <w:tcPr>
            <w:tcW w:type="dxa" w:w="3389"/>
            <w:shd w:fill="EDEDED"/>
          </w:tcPr>
          <w:p>
            <w:r>
              <w:rPr>
                <w:b/>
              </w:rPr>
              <w:t>Decision</w:t>
            </w:r>
          </w:p>
        </w:tc>
        <w:tc>
          <w:tcPr>
            <w:tcW w:type="dxa" w:w="3389"/>
            <w:shd w:fill="EDEDED"/>
          </w:tcPr>
          <w:p>
            <w:r>
              <w:rPr>
                <w:b/>
              </w:rPr>
              <w:t>Reason</w:t>
            </w:r>
          </w:p>
        </w:tc>
      </w:tr>
      <w:tr>
        <w:tc>
          <w:tcPr>
            <w:tcW w:type="dxa" w:w="3389"/>
            <w:vAlign w:val="top"/>
          </w:tcPr>
          <w:p>
            <w:r>
              <w:t>ADR-001</w:t>
            </w:r>
          </w:p>
        </w:tc>
        <w:tc>
          <w:tcPr>
            <w:tcW w:type="dxa" w:w="3389"/>
            <w:vAlign w:val="top"/>
          </w:tcPr>
          <w:p>
            <w:r>
              <w:t>Turborepo + pnpm monorepo</w:t>
            </w:r>
          </w:p>
        </w:tc>
        <w:tc>
          <w:tcPr>
            <w:tcW w:type="dxa" w:w="3389"/>
            <w:vAlign w:val="top"/>
          </w:tcPr>
          <w:p>
            <w:r>
              <w:t>Shared contracts/config/testing with dependency-aware builds and caching.</w:t>
            </w:r>
          </w:p>
        </w:tc>
      </w:tr>
      <w:tr>
        <w:tc>
          <w:tcPr>
            <w:tcW w:type="dxa" w:w="3389"/>
            <w:vAlign w:val="top"/>
          </w:tcPr>
          <w:p>
            <w:r>
              <w:t>ADR-002</w:t>
            </w:r>
          </w:p>
        </w:tc>
        <w:tc>
          <w:tcPr>
            <w:tcW w:type="dxa" w:w="3389"/>
            <w:vAlign w:val="top"/>
          </w:tcPr>
          <w:p>
            <w:r>
              <w:t>Next.js is the application backend</w:t>
            </w:r>
          </w:p>
        </w:tc>
        <w:tc>
          <w:tcPr>
            <w:tcW w:type="dxa" w:w="3389"/>
            <w:vAlign w:val="top"/>
          </w:tcPr>
          <w:p>
            <w:r>
              <w:t>Avoid separate CRUD/API service while retaining server-side boundaries.</w:t>
            </w:r>
          </w:p>
        </w:tc>
      </w:tr>
      <w:tr>
        <w:tc>
          <w:tcPr>
            <w:tcW w:type="dxa" w:w="3389"/>
            <w:vAlign w:val="top"/>
          </w:tcPr>
          <w:p>
            <w:r>
              <w:t>ADR-003</w:t>
            </w:r>
          </w:p>
        </w:tc>
        <w:tc>
          <w:tcPr>
            <w:tcW w:type="dxa" w:w="3389"/>
            <w:vAlign w:val="top"/>
          </w:tcPr>
          <w:p>
            <w:r>
              <w:t>Direct browser → S3</w:t>
            </w:r>
          </w:p>
        </w:tc>
        <w:tc>
          <w:tcPr>
            <w:tcW w:type="dxa" w:w="3389"/>
            <w:vAlign w:val="top"/>
          </w:tcPr>
          <w:p>
            <w:r>
              <w:t>Remove Vercel from large-byte data path.</w:t>
            </w:r>
          </w:p>
        </w:tc>
      </w:tr>
      <w:tr>
        <w:tc>
          <w:tcPr>
            <w:tcW w:type="dxa" w:w="3389"/>
            <w:vAlign w:val="top"/>
          </w:tcPr>
          <w:p>
            <w:r>
              <w:t>ADR-004</w:t>
            </w:r>
          </w:p>
        </w:tc>
        <w:tc>
          <w:tcPr>
            <w:tcW w:type="dxa" w:w="3389"/>
            <w:vAlign w:val="top"/>
          </w:tcPr>
          <w:p>
            <w:r>
              <w:t>Commit endpoint after upload</w:t>
            </w:r>
          </w:p>
        </w:tc>
        <w:tc>
          <w:tcPr>
            <w:tcW w:type="dxa" w:w="3389"/>
            <w:vAlign w:val="top"/>
          </w:tcPr>
          <w:p>
            <w:r>
              <w:t>DB remains authoritative and abandoned/duplicate uploads are manageable.</w:t>
            </w:r>
          </w:p>
        </w:tc>
      </w:tr>
      <w:tr>
        <w:tc>
          <w:tcPr>
            <w:tcW w:type="dxa" w:w="3389"/>
            <w:vAlign w:val="top"/>
          </w:tcPr>
          <w:p>
            <w:r>
              <w:t>ADR-005</w:t>
            </w:r>
          </w:p>
        </w:tc>
        <w:tc>
          <w:tcPr>
            <w:tcW w:type="dxa" w:w="3389"/>
            <w:vAlign w:val="top"/>
          </w:tcPr>
          <w:p>
            <w:r>
              <w:t>SQS between app and processing</w:t>
            </w:r>
          </w:p>
        </w:tc>
        <w:tc>
          <w:tcPr>
            <w:tcW w:type="dxa" w:w="3389"/>
            <w:vAlign w:val="top"/>
          </w:tcPr>
          <w:p>
            <w:r>
              <w:t>Backpressure, retries, DLQ and future GPU consumers.</w:t>
            </w:r>
          </w:p>
        </w:tc>
      </w:tr>
      <w:tr>
        <w:tc>
          <w:tcPr>
            <w:tcW w:type="dxa" w:w="3389"/>
            <w:vAlign w:val="top"/>
          </w:tcPr>
          <w:p>
            <w:r>
              <w:t>ADR-006</w:t>
            </w:r>
          </w:p>
        </w:tc>
        <w:tc>
          <w:tcPr>
            <w:tcW w:type="dxa" w:w="3389"/>
            <w:vAlign w:val="top"/>
          </w:tcPr>
          <w:p>
            <w:r>
              <w:t>Adaptive polling V1</w:t>
            </w:r>
          </w:p>
        </w:tc>
        <w:tc>
          <w:tcPr>
            <w:tcW w:type="dxa" w:w="3389"/>
            <w:vAlign w:val="top"/>
          </w:tcPr>
          <w:p>
            <w:r>
              <w:t>Simple, Vercel-friendly and sufficient for coarse job progress.</w:t>
            </w:r>
          </w:p>
        </w:tc>
      </w:tr>
      <w:tr>
        <w:tc>
          <w:tcPr>
            <w:tcW w:type="dxa" w:w="3389"/>
            <w:vAlign w:val="top"/>
          </w:tcPr>
          <w:p>
            <w:r>
              <w:t>ADR-007</w:t>
            </w:r>
          </w:p>
        </w:tc>
        <w:tc>
          <w:tcPr>
            <w:tcW w:type="dxa" w:w="3389"/>
            <w:vAlign w:val="top"/>
          </w:tcPr>
          <w:p>
            <w:r>
              <w:t>Provider port</w:t>
            </w:r>
          </w:p>
        </w:tc>
        <w:tc>
          <w:tcPr>
            <w:tcW w:type="dxa" w:w="3389"/>
            <w:vAlign w:val="top"/>
          </w:tcPr>
          <w:p>
            <w:r>
              <w:t>remove.bg/fal.ai/self-hosted BiRefNet remain replaceable.</w:t>
            </w:r>
          </w:p>
        </w:tc>
      </w:tr>
      <w:tr>
        <w:tc>
          <w:tcPr>
            <w:tcW w:type="dxa" w:w="3389"/>
            <w:vAlign w:val="top"/>
          </w:tcPr>
          <w:p>
            <w:r>
              <w:t>ADR-008</w:t>
            </w:r>
          </w:p>
        </w:tc>
        <w:tc>
          <w:tcPr>
            <w:tcW w:type="dxa" w:w="3389"/>
            <w:vAlign w:val="top"/>
          </w:tcPr>
          <w:p>
            <w:r>
              <w:t>PostgreSQL job source of truth</w:t>
            </w:r>
          </w:p>
        </w:tc>
        <w:tc>
          <w:tcPr>
            <w:tcW w:type="dxa" w:w="3389"/>
            <w:vAlign w:val="top"/>
          </w:tcPr>
          <w:p>
            <w:r>
              <w:t>Durable business lifecycle independent of transport/provider.</w:t>
            </w:r>
          </w:p>
        </w:tc>
      </w:tr>
      <w:tr>
        <w:tc>
          <w:tcPr>
            <w:tcW w:type="dxa" w:w="3389"/>
            <w:vAlign w:val="top"/>
          </w:tcPr>
          <w:p>
            <w:r>
              <w:t>ADR-009</w:t>
            </w:r>
          </w:p>
        </w:tc>
        <w:tc>
          <w:tcPr>
            <w:tcW w:type="dxa" w:w="3389"/>
            <w:vAlign w:val="top"/>
          </w:tcPr>
          <w:p>
            <w:r>
              <w:t>Immutable usage events</w:t>
            </w:r>
          </w:p>
        </w:tc>
        <w:tc>
          <w:tcPr>
            <w:tcW w:type="dxa" w:w="3389"/>
            <w:vAlign w:val="top"/>
          </w:tcPr>
          <w:p>
            <w:r>
              <w:t>Auditable billing/entitlement foundation.</w:t>
            </w:r>
          </w:p>
        </w:tc>
      </w:tr>
      <w:tr>
        <w:tc>
          <w:tcPr>
            <w:tcW w:type="dxa" w:w="3389"/>
            <w:vAlign w:val="top"/>
          </w:tcPr>
          <w:p>
            <w:r>
              <w:t>ADR-010</w:t>
            </w:r>
          </w:p>
        </w:tc>
        <w:tc>
          <w:tcPr>
            <w:tcW w:type="dxa" w:w="3389"/>
            <w:vAlign w:val="top"/>
          </w:tcPr>
          <w:p>
            <w:r>
              <w:t>Opaque DB-backed sessions</w:t>
            </w:r>
          </w:p>
        </w:tc>
        <w:tc>
          <w:tcPr>
            <w:tcW w:type="dxa" w:w="3389"/>
            <w:vAlign w:val="top"/>
          </w:tcPr>
          <w:p>
            <w:r>
              <w:t>Revocation and unified Google/phone authentication.</w:t>
            </w:r>
          </w:p>
        </w:tc>
      </w:tr>
    </w:tbl>
    <w:p/>
    <w:p>
      <w:pPr>
        <w:pStyle w:val="Heading1"/>
      </w:pPr>
      <w:r>
        <w:t>26. Open implementation decisions</w:t>
      </w:r>
    </w:p>
    <w:p>
      <w:pPr>
        <w:spacing w:after="80"/>
      </w:pPr>
      <w:r>
        <w:t>The architecture is complete enough to implement. The following choices can be made during implementation without changing the system shape: managed PostgreSQL vendor, exact IaC tool, payment provider, exact observability vendor, image preview dimensions/quality, and whether provider completion for fal.ai uses polling or signed webhooks. Each must preserve the contracts and boundaries in this document.</w:t>
      </w:r>
    </w:p>
    <w:p>
      <w:pPr>
        <w:spacing w:after="80"/>
      </w:pPr>
      <w:r>
        <w:t>For self-hosted BiRefNet, the worker runtime/instance family should be selected only after benchmarking model latency, VRAM usage, cold-start/model-load behavior, target throughput and cost per image. The queue contract deliberately postpones that infrastructure choice.</w:t>
      </w:r>
    </w:p>
    <w:p>
      <w:pPr>
        <w:pStyle w:val="Heading1"/>
      </w:pPr>
      <w:r>
        <w:t>27. Final implementation rule set</w:t>
      </w:r>
    </w:p>
    <w:p>
      <w:pPr>
        <w:pStyle w:val="ListNumber"/>
        <w:spacing w:after="20"/>
      </w:pPr>
      <w:r>
        <w:t>Treat screenshots as visual truth and this specification as behavioral/architectural truth.</w:t>
      </w:r>
    </w:p>
    <w:p>
      <w:pPr>
        <w:pStyle w:val="ListNumber"/>
        <w:spacing w:after="20"/>
      </w:pPr>
      <w:r>
        <w:t>Keep large image bytes off Vercel.</w:t>
      </w:r>
    </w:p>
    <w:p>
      <w:pPr>
        <w:pStyle w:val="ListNumber"/>
        <w:spacing w:after="20"/>
      </w:pPr>
      <w:r>
        <w:t>Keep business state in PostgreSQL, bytes in S3 and asynchronous work in SQS.</w:t>
      </w:r>
    </w:p>
    <w:p>
      <w:pPr>
        <w:pStyle w:val="ListNumber"/>
        <w:spacing w:after="20"/>
      </w:pPr>
      <w:r>
        <w:t>Validate every external boundary with Zod or provider-specific verified parsing.</w:t>
      </w:r>
    </w:p>
    <w:p>
      <w:pPr>
        <w:pStyle w:val="ListNumber"/>
        <w:spacing w:after="20"/>
      </w:pPr>
      <w:r>
        <w:t>Make all externally retried operations idempotent.</w:t>
      </w:r>
    </w:p>
    <w:p>
      <w:pPr>
        <w:pStyle w:val="ListNumber"/>
        <w:spacing w:after="20"/>
      </w:pPr>
      <w:r>
        <w:t>Never couple UI/domain services to remove.bg.</w:t>
      </w:r>
    </w:p>
    <w:p>
      <w:pPr>
        <w:pStyle w:val="ListNumber"/>
        <w:spacing w:after="20"/>
      </w:pPr>
      <w:r>
        <w:t>Prefer truthful stage status over invented progress.</w:t>
      </w:r>
    </w:p>
    <w:p>
      <w:pPr>
        <w:pStyle w:val="ListNumber"/>
        <w:spacing w:after="20"/>
      </w:pPr>
      <w:r>
        <w:t>Keep Zustand transient; server data remains canonical.</w:t>
      </w:r>
    </w:p>
    <w:p>
      <w:pPr>
        <w:pStyle w:val="ListNumber"/>
        <w:spacing w:after="20"/>
      </w:pPr>
      <w:r>
        <w:t>Make tests and observability part of each feature, not a final cleanup phase.</w:t>
      </w:r>
    </w:p>
    <w:p>
      <w:pPr>
        <w:pStyle w:val="ListNumber"/>
        <w:spacing w:after="20"/>
      </w:pPr>
      <w:r>
        <w:t>Design V1 so the future BiRefNet worker is a consumer replacement, not a product rewrite.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Implementation-grade specification • 18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StudioCar AI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