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00D0" w:rsidRDefault="005400D0" w14:paraId="4A10569D" w14:textId="118E4E1F"/>
    <w:p w:rsidR="00BB0DE1" w:rsidRDefault="00BB0DE1" w14:paraId="1B57C465" w14:textId="7A54D7E3"/>
    <w:p w:rsidR="00BB0DE1" w:rsidRDefault="00BB0DE1" w14:paraId="23EB23A4" w14:textId="0EC30DF1"/>
    <w:p w:rsidR="00BB0DE1" w:rsidRDefault="00BB0DE1" w14:paraId="6BFA9557" w14:textId="07400CB1"/>
    <w:p w:rsidR="00BB0DE1" w:rsidRDefault="00BB0DE1" w14:paraId="3F338CEF" w14:textId="37B2943A"/>
    <w:p w:rsidR="00BB0DE1" w:rsidRDefault="00BB0DE1" w14:paraId="58ED4205" w14:textId="210AA890"/>
    <w:p w:rsidR="00BB0DE1" w:rsidRDefault="00BB0DE1" w14:paraId="30F1619F" w14:textId="45CC56A7"/>
    <w:p w:rsidRPr="00A50864" w:rsidR="00BB0DE1" w:rsidP="00A50864" w:rsidRDefault="007F0305" w14:paraId="6D2E904D" w14:textId="6E5C4F9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Client</w:t>
      </w:r>
      <w:r w:rsidRPr="00A50864" w:rsidR="00A50864">
        <w:rPr>
          <w:b/>
          <w:bCs/>
          <w:sz w:val="36"/>
          <w:szCs w:val="36"/>
        </w:rPr>
        <w:t xml:space="preserve"> Logo</w:t>
      </w:r>
    </w:p>
    <w:p w:rsidR="00BB0DE1" w:rsidRDefault="00BB0DE1" w14:paraId="20F146C1" w14:textId="77777777"/>
    <w:p w:rsidR="00BB0DE1" w:rsidRDefault="00BB0DE1" w14:paraId="6A60C673" w14:textId="1DAA2ACE"/>
    <w:p w:rsidRPr="00BB0DE1" w:rsidR="00BB0DE1" w:rsidP="00A50864" w:rsidRDefault="007F0305" w14:paraId="5E745A20" w14:textId="6195BEB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Client</w:t>
      </w:r>
      <w:r w:rsidR="00A50864">
        <w:rPr>
          <w:b/>
          <w:bCs/>
          <w:sz w:val="36"/>
          <w:szCs w:val="36"/>
        </w:rPr>
        <w:t xml:space="preserve"> Name</w:t>
      </w:r>
    </w:p>
    <w:p w:rsidRPr="00BB0DE1" w:rsidR="00BB0DE1" w:rsidP="00A50864" w:rsidRDefault="00BB0DE1" w14:paraId="2438F26F" w14:textId="7B93A913">
      <w:pPr>
        <w:jc w:val="center"/>
        <w:rPr>
          <w:b/>
          <w:bCs/>
          <w:sz w:val="36"/>
          <w:szCs w:val="36"/>
        </w:rPr>
      </w:pPr>
      <w:r w:rsidRPr="00BB0DE1">
        <w:rPr>
          <w:b/>
          <w:bCs/>
          <w:sz w:val="36"/>
          <w:szCs w:val="36"/>
        </w:rPr>
        <w:t>FINANCIAL CRIME RISK ASSESSMENT (FCRA) REPORT</w:t>
      </w:r>
    </w:p>
    <w:p w:rsidRPr="00BB0DE1" w:rsidR="00BB0DE1" w:rsidP="00A50864" w:rsidRDefault="00BB0DE1" w14:paraId="6ACA4153" w14:textId="79508416">
      <w:pPr>
        <w:jc w:val="center"/>
        <w:rPr>
          <w:sz w:val="24"/>
          <w:szCs w:val="24"/>
        </w:rPr>
      </w:pPr>
      <w:r w:rsidRPr="00BB0DE1">
        <w:rPr>
          <w:sz w:val="24"/>
          <w:szCs w:val="24"/>
        </w:rPr>
        <w:t xml:space="preserve">For the period from </w:t>
      </w:r>
      <w:r w:rsidR="00A50864">
        <w:rPr>
          <w:sz w:val="24"/>
          <w:szCs w:val="24"/>
        </w:rPr>
        <w:t>DD/MM/YY</w:t>
      </w:r>
      <w:r w:rsidRPr="00BB0DE1">
        <w:rPr>
          <w:sz w:val="24"/>
          <w:szCs w:val="24"/>
        </w:rPr>
        <w:t xml:space="preserve"> to </w:t>
      </w:r>
      <w:r w:rsidR="00A50864">
        <w:rPr>
          <w:sz w:val="24"/>
          <w:szCs w:val="24"/>
        </w:rPr>
        <w:t>DD/MM/YY</w:t>
      </w:r>
    </w:p>
    <w:p w:rsidR="00BB0DE1" w:rsidP="00BB0DE1" w:rsidRDefault="00BB0DE1" w14:paraId="5075BF31" w14:textId="3167623C">
      <w:pPr>
        <w:jc w:val="center"/>
      </w:pPr>
    </w:p>
    <w:p w:rsidR="00EF334C" w:rsidP="00BB0DE1" w:rsidRDefault="00EF334C" w14:paraId="6630614D" w14:textId="6911A814">
      <w:pPr>
        <w:jc w:val="center"/>
      </w:pPr>
    </w:p>
    <w:p w:rsidR="00EF334C" w:rsidP="00BB0DE1" w:rsidRDefault="00EF334C" w14:paraId="6569F0B0" w14:textId="2C437F95">
      <w:pPr>
        <w:jc w:val="center"/>
      </w:pPr>
    </w:p>
    <w:p w:rsidR="00EF334C" w:rsidP="00BB0DE1" w:rsidRDefault="00EF334C" w14:paraId="34824355" w14:textId="045DE34F">
      <w:pPr>
        <w:jc w:val="center"/>
      </w:pPr>
    </w:p>
    <w:p w:rsidR="00EF334C" w:rsidP="00BB0DE1" w:rsidRDefault="00EF334C" w14:paraId="20E5EF7E" w14:textId="30218B8B">
      <w:pPr>
        <w:jc w:val="center"/>
      </w:pPr>
    </w:p>
    <w:p w:rsidR="00EF334C" w:rsidP="00BB0DE1" w:rsidRDefault="00EF334C" w14:paraId="11F31403" w14:textId="355379A1">
      <w:pPr>
        <w:jc w:val="center"/>
      </w:pPr>
    </w:p>
    <w:p w:rsidR="00EF334C" w:rsidP="00BB0DE1" w:rsidRDefault="00EF334C" w14:paraId="5E6DD45A" w14:textId="367869BF">
      <w:pPr>
        <w:jc w:val="center"/>
      </w:pPr>
    </w:p>
    <w:p w:rsidR="00EF334C" w:rsidP="00BB0DE1" w:rsidRDefault="00EF334C" w14:paraId="447D9130" w14:textId="2037BF3F">
      <w:pPr>
        <w:jc w:val="center"/>
      </w:pPr>
    </w:p>
    <w:p w:rsidR="00EF334C" w:rsidP="00BB0DE1" w:rsidRDefault="00EF334C" w14:paraId="15B0A171" w14:textId="342E1F74">
      <w:pPr>
        <w:jc w:val="center"/>
      </w:pPr>
    </w:p>
    <w:p w:rsidR="00EF334C" w:rsidP="00BB0DE1" w:rsidRDefault="00EF334C" w14:paraId="68796FD8" w14:textId="15C48EFB">
      <w:pPr>
        <w:jc w:val="center"/>
      </w:pPr>
    </w:p>
    <w:p w:rsidR="00EF334C" w:rsidP="00BB0DE1" w:rsidRDefault="00EF334C" w14:paraId="30AE0109" w14:textId="1E6A858C">
      <w:pPr>
        <w:jc w:val="center"/>
      </w:pPr>
    </w:p>
    <w:p w:rsidR="00EF334C" w:rsidP="00BB0DE1" w:rsidRDefault="00EF334C" w14:paraId="77920613" w14:textId="38000C47">
      <w:pPr>
        <w:jc w:val="center"/>
      </w:pPr>
    </w:p>
    <w:p w:rsidR="00EF334C" w:rsidP="00BB0DE1" w:rsidRDefault="00EF334C" w14:paraId="74E3BF8E" w14:textId="60389A87">
      <w:pPr>
        <w:jc w:val="center"/>
      </w:pPr>
    </w:p>
    <w:p w:rsidR="00EF334C" w:rsidP="00BB0DE1" w:rsidRDefault="00EF334C" w14:paraId="768D1544" w14:textId="1D75C4F2">
      <w:pPr>
        <w:jc w:val="center"/>
      </w:pPr>
    </w:p>
    <w:p w:rsidR="00EF334C" w:rsidP="00BB0DE1" w:rsidRDefault="00EF334C" w14:paraId="4A11397A" w14:textId="11D6D4B1">
      <w:pPr>
        <w:jc w:val="center"/>
      </w:pPr>
    </w:p>
    <w:p w:rsidR="00A50864" w:rsidP="00BB0DE1" w:rsidRDefault="00A50864" w14:paraId="1D629CFC" w14:textId="77777777">
      <w:pPr>
        <w:jc w:val="center"/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IN"/>
        </w:rPr>
        <w:id w:val="188883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2125B3" w:rsidR="005C1404" w:rsidRDefault="005C1404" w14:paraId="68F29F5C" w14:textId="6288E1CA">
          <w:pPr>
            <w:pStyle w:val="TOCHeading"/>
            <w:rPr>
              <w:b/>
              <w:bCs/>
            </w:rPr>
          </w:pPr>
          <w:r w:rsidRPr="002125B3">
            <w:rPr>
              <w:b/>
              <w:bCs/>
            </w:rPr>
            <w:t>Table of Contents</w:t>
          </w:r>
        </w:p>
        <w:p w:rsidR="00894881" w:rsidRDefault="005C1404" w14:paraId="77A46E12" w14:textId="6FA7FDF9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1022696">
            <w:r w:rsidRPr="00104899" w:rsidR="00894881">
              <w:rPr>
                <w:rStyle w:val="Hyperlink"/>
                <w:noProof/>
              </w:rPr>
              <w:t>1.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Introduction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_Toc131022696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A1F988E" w14:textId="4468EBDD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697">
            <w:r w:rsidRPr="00104899" w:rsidR="00894881">
              <w:rPr>
                <w:rStyle w:val="Hyperlink"/>
                <w:noProof/>
              </w:rPr>
              <w:t>2.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Financial Crime Risk Assessment Approach &amp; Methodology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_Toc131022697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92C85A2" w14:textId="0EC75629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698">
            <w:r w:rsidRPr="00104899" w:rsidR="00894881">
              <w:rPr>
                <w:rStyle w:val="Hyperlink"/>
                <w:noProof/>
              </w:rPr>
              <w:t>PART A: MONEY LAUNDERING RISK ASSESSMENT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_Toc131022698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C0F700B" w14:textId="6D73E932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699">
            <w:r w:rsidRPr="00104899" w:rsidR="00894881">
              <w:rPr>
                <w:rStyle w:val="Hyperlink"/>
                <w:noProof/>
              </w:rPr>
              <w:t>3.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Executive Summary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_Toc131022699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74A27D1" w14:textId="77A3C629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0">
            <w:r w:rsidRPr="00104899" w:rsidR="00894881">
              <w:rPr>
                <w:rStyle w:val="Hyperlink"/>
                <w:rFonts w:cstheme="minorHAnsi"/>
                <w:noProof/>
              </w:rPr>
              <w:t>3.1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Enterprise-wide Inherent Risk Ratings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2E66441" w14:textId="7F724476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1">
            <w:r w:rsidRPr="00104899" w:rsidR="00894881">
              <w:rPr>
                <w:rStyle w:val="Hyperlink"/>
                <w:rFonts w:cstheme="minorHAnsi"/>
                <w:noProof/>
              </w:rPr>
              <w:t>3.2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Jurisdiction-wise Inherent Risk Ratings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BA0D798" w14:textId="44445F5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2">
            <w:r w:rsidRPr="00104899" w:rsidR="00894881">
              <w:rPr>
                <w:rStyle w:val="Hyperlink"/>
                <w:rFonts w:cstheme="minorHAnsi"/>
                <w:noProof/>
              </w:rPr>
              <w:t>3.3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Enterprise-wide Control Effectiveness Scores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47BD515" w14:textId="7A70F665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3">
            <w:r w:rsidRPr="00104899" w:rsidR="00894881">
              <w:rPr>
                <w:rStyle w:val="Hyperlink"/>
                <w:rFonts w:cstheme="minorHAnsi"/>
                <w:noProof/>
              </w:rPr>
              <w:t>3.4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Enterprise-wide Residual Risk Rating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7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DAA71FF" w14:textId="3CE3A528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4">
            <w:r w:rsidRPr="00104899" w:rsidR="00894881">
              <w:rPr>
                <w:rStyle w:val="Hyperlink"/>
                <w:noProof/>
              </w:rPr>
              <w:t>4.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Inherent Risk Assessment – Retail Banking Group (RBG)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7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0EE44F02" w14:textId="4F8DC91F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5">
            <w:r w:rsidRPr="00104899" w:rsidR="00894881">
              <w:rPr>
                <w:rStyle w:val="Hyperlink"/>
                <w:rFonts w:cstheme="minorHAnsi"/>
                <w:noProof/>
              </w:rPr>
              <w:t>4.1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Mass Market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7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7B7AD81" w14:textId="7CBC4E86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6">
            <w:r w:rsidRPr="00104899" w:rsidR="00894881">
              <w:rPr>
                <w:rStyle w:val="Hyperlink"/>
                <w:noProof/>
              </w:rPr>
              <w:t>4.1.1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7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0C882D65" w14:textId="56AA815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7">
            <w:r w:rsidRPr="00104899" w:rsidR="00894881">
              <w:rPr>
                <w:rStyle w:val="Hyperlink"/>
                <w:noProof/>
              </w:rPr>
              <w:t>4.1.2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7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F423503" w14:textId="5784CEDA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8">
            <w:r w:rsidRPr="00104899" w:rsidR="00894881">
              <w:rPr>
                <w:rStyle w:val="Hyperlink"/>
                <w:noProof/>
              </w:rPr>
              <w:t>4.1.3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7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09F88C36" w14:textId="264287DD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09">
            <w:r w:rsidRPr="00104899" w:rsidR="00894881">
              <w:rPr>
                <w:rStyle w:val="Hyperlink"/>
                <w:noProof/>
              </w:rPr>
              <w:t>4.1.4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Channel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_Toc131022709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1F27981C" w14:textId="023FCF9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0">
            <w:r w:rsidRPr="00104899" w:rsidR="00894881">
              <w:rPr>
                <w:rStyle w:val="Hyperlink"/>
                <w:noProof/>
              </w:rPr>
              <w:t>4.1.5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D032F41" w14:textId="0419C24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1">
            <w:r w:rsidRPr="00104899" w:rsidR="00894881">
              <w:rPr>
                <w:rStyle w:val="Hyperlink"/>
                <w:rFonts w:cstheme="minorHAnsi"/>
                <w:noProof/>
              </w:rPr>
              <w:t>4.2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Private Banking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0E38BC97" w14:textId="6CD10E0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2">
            <w:r w:rsidRPr="00104899" w:rsidR="00894881">
              <w:rPr>
                <w:rStyle w:val="Hyperlink"/>
                <w:noProof/>
              </w:rPr>
              <w:t>4.2.1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1A79684" w14:textId="015A174E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3">
            <w:r w:rsidRPr="00104899" w:rsidR="00894881">
              <w:rPr>
                <w:rStyle w:val="Hyperlink"/>
                <w:noProof/>
              </w:rPr>
              <w:t>4.2.2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05461F7F" w14:textId="4C24FC03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4">
            <w:r w:rsidRPr="00104899" w:rsidR="00894881">
              <w:rPr>
                <w:rStyle w:val="Hyperlink"/>
                <w:noProof/>
              </w:rPr>
              <w:t>4.2.3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E3300EF" w14:textId="17B7F1A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5">
            <w:r w:rsidRPr="00104899" w:rsidR="00894881">
              <w:rPr>
                <w:rStyle w:val="Hyperlink"/>
                <w:noProof/>
              </w:rPr>
              <w:t>4.2.4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Channel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5B7BAB3" w14:textId="48D34845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6">
            <w:r w:rsidRPr="00104899" w:rsidR="00894881">
              <w:rPr>
                <w:rStyle w:val="Hyperlink"/>
                <w:noProof/>
              </w:rPr>
              <w:t>4.2.5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48231D4" w14:textId="798DCE18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7">
            <w:r w:rsidRPr="00104899" w:rsidR="00894881">
              <w:rPr>
                <w:rStyle w:val="Hyperlink"/>
                <w:noProof/>
              </w:rPr>
              <w:t>5.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Inherent Risk Assessment – Corporate Banking Group (CBG)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1BE72D2" w14:textId="2C8781E2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8">
            <w:r w:rsidRPr="00104899" w:rsidR="00894881">
              <w:rPr>
                <w:rStyle w:val="Hyperlink"/>
                <w:rFonts w:cstheme="minorHAnsi"/>
                <w:noProof/>
              </w:rPr>
              <w:t>5.1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Wholesale Banking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247D634" w14:textId="382CE68D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19">
            <w:r w:rsidRPr="00104899" w:rsidR="00894881">
              <w:rPr>
                <w:rStyle w:val="Hyperlink"/>
                <w:noProof/>
              </w:rPr>
              <w:t>5.1.1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_Toc131022719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08F162BC" w14:textId="472D66B9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0">
            <w:r w:rsidRPr="00104899" w:rsidR="00894881">
              <w:rPr>
                <w:rStyle w:val="Hyperlink"/>
                <w:noProof/>
              </w:rPr>
              <w:t>5.1.2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8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F65719B" w14:textId="43AD33BC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1">
            <w:r w:rsidRPr="00104899" w:rsidR="00894881">
              <w:rPr>
                <w:rStyle w:val="Hyperlink"/>
                <w:noProof/>
              </w:rPr>
              <w:t>5.1.3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1C420B2" w14:textId="6D0D3B6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2">
            <w:r w:rsidRPr="00104899" w:rsidR="00894881">
              <w:rPr>
                <w:rStyle w:val="Hyperlink"/>
                <w:noProof/>
              </w:rPr>
              <w:t>5.1.4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Channel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C274141" w14:textId="5080986D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3">
            <w:r w:rsidRPr="00104899" w:rsidR="00894881">
              <w:rPr>
                <w:rStyle w:val="Hyperlink"/>
                <w:noProof/>
              </w:rPr>
              <w:t>5.1.5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8FF265E" w14:textId="2CB46149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4">
            <w:r w:rsidRPr="00104899" w:rsidR="00894881">
              <w:rPr>
                <w:rStyle w:val="Hyperlink"/>
                <w:rFonts w:cstheme="minorHAnsi"/>
                <w:noProof/>
              </w:rPr>
              <w:t>5.2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SME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F6FB01F" w14:textId="6C765D4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5">
            <w:r w:rsidRPr="00104899" w:rsidR="00894881">
              <w:rPr>
                <w:rStyle w:val="Hyperlink"/>
                <w:noProof/>
              </w:rPr>
              <w:t>5.2.1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AC49C81" w14:textId="091DB8B7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6">
            <w:r w:rsidRPr="00104899" w:rsidR="00894881">
              <w:rPr>
                <w:rStyle w:val="Hyperlink"/>
                <w:noProof/>
              </w:rPr>
              <w:t>5.2.2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3B4FBD2" w14:textId="489B0845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7">
            <w:r w:rsidRPr="00104899" w:rsidR="00894881">
              <w:rPr>
                <w:rStyle w:val="Hyperlink"/>
                <w:noProof/>
              </w:rPr>
              <w:t>5.2.3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12D83FA" w14:textId="38A7DD3A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8">
            <w:r w:rsidRPr="00104899" w:rsidR="00894881">
              <w:rPr>
                <w:rStyle w:val="Hyperlink"/>
                <w:noProof/>
              </w:rPr>
              <w:t>5.2.4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Channel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A2CDBBF" w14:textId="763B5921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29">
            <w:r w:rsidRPr="00104899" w:rsidR="00894881">
              <w:rPr>
                <w:rStyle w:val="Hyperlink"/>
                <w:noProof/>
              </w:rPr>
              <w:t>5.2.5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_Toc131022729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5F704A1" w14:textId="162C8896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0">
            <w:r w:rsidRPr="00104899" w:rsidR="00894881">
              <w:rPr>
                <w:rStyle w:val="Hyperlink"/>
                <w:noProof/>
              </w:rPr>
              <w:t>6.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Inherent Risk Assessment – Treasury Banking Group (TBG)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07970F3" w14:textId="14330E72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1">
            <w:r w:rsidRPr="00104899" w:rsidR="00894881">
              <w:rPr>
                <w:rStyle w:val="Hyperlink"/>
                <w:noProof/>
              </w:rPr>
              <w:t>6.1.1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9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DEEF9A9" w14:textId="6AAEB7F5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2">
            <w:r w:rsidRPr="00104899" w:rsidR="00894881">
              <w:rPr>
                <w:rStyle w:val="Hyperlink"/>
                <w:noProof/>
              </w:rPr>
              <w:t>6.1.2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3ECAB00" w14:textId="624D9ABD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3">
            <w:r w:rsidRPr="00104899" w:rsidR="00894881">
              <w:rPr>
                <w:rStyle w:val="Hyperlink"/>
                <w:noProof/>
              </w:rPr>
              <w:t>6.1.3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1968FA57" w14:textId="734B88A8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4">
            <w:r w:rsidRPr="00104899" w:rsidR="00894881">
              <w:rPr>
                <w:rStyle w:val="Hyperlink"/>
                <w:noProof/>
              </w:rPr>
              <w:t>6.1.4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Channel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B589F30" w14:textId="4C4B1819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5">
            <w:r w:rsidRPr="00104899" w:rsidR="00894881">
              <w:rPr>
                <w:rStyle w:val="Hyperlink"/>
                <w:noProof/>
              </w:rPr>
              <w:t>6.1.5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1DFEE7F" w14:textId="0CE70564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6">
            <w:r w:rsidRPr="00104899" w:rsidR="00894881">
              <w:rPr>
                <w:rStyle w:val="Hyperlink"/>
                <w:noProof/>
              </w:rPr>
              <w:t>7.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Control Environment Assessment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6CD53EE" w14:textId="3CE6EFAA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7">
            <w:r w:rsidRPr="00104899" w:rsidR="00894881">
              <w:rPr>
                <w:rStyle w:val="Hyperlink"/>
                <w:rFonts w:cstheme="minorHAnsi"/>
                <w:noProof/>
              </w:rPr>
              <w:t>7.1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Governance and Risk Management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E19AA7A" w14:textId="49858A31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8">
            <w:r w:rsidRPr="00104899" w:rsidR="00894881">
              <w:rPr>
                <w:rStyle w:val="Hyperlink"/>
                <w:rFonts w:cstheme="minorHAnsi"/>
                <w:noProof/>
              </w:rPr>
              <w:t>7.2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Policies and Procedures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9ADDC11" w14:textId="266ACEF5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39">
            <w:r w:rsidRPr="00104899" w:rsidR="00894881">
              <w:rPr>
                <w:rStyle w:val="Hyperlink"/>
                <w:rFonts w:cstheme="minorHAnsi"/>
                <w:noProof/>
              </w:rPr>
              <w:t>7.3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KYC/CDD/EDD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_Toc131022739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DE05889" w14:textId="39EA6AF8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0">
            <w:r w:rsidRPr="00104899" w:rsidR="00894881">
              <w:rPr>
                <w:rStyle w:val="Hyperlink"/>
                <w:rFonts w:cstheme="minorHAnsi"/>
                <w:noProof/>
              </w:rPr>
              <w:t>7.4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Screening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10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12B149E0" w14:textId="2EA76C0E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1">
            <w:r w:rsidRPr="00104899" w:rsidR="00894881">
              <w:rPr>
                <w:rStyle w:val="Hyperlink"/>
                <w:rFonts w:cstheme="minorHAnsi"/>
                <w:noProof/>
              </w:rPr>
              <w:t>7.5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Transaction Monitoring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66BE281" w14:textId="284A5A8E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2">
            <w:r w:rsidRPr="00104899" w:rsidR="00894881">
              <w:rPr>
                <w:rStyle w:val="Hyperlink"/>
                <w:rFonts w:cstheme="minorHAnsi"/>
                <w:noProof/>
              </w:rPr>
              <w:t>7.6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Compliance Assurance &amp; Independent Testing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3DD3751" w14:textId="0BC63072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3">
            <w:r w:rsidRPr="00104899" w:rsidR="00894881">
              <w:rPr>
                <w:rStyle w:val="Hyperlink"/>
                <w:rFonts w:cstheme="minorHAnsi"/>
                <w:noProof/>
              </w:rPr>
              <w:t>7.7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Reporting &amp; MIS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8A01111" w14:textId="729560D7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4">
            <w:r w:rsidRPr="00104899" w:rsidR="00894881">
              <w:rPr>
                <w:rStyle w:val="Hyperlink"/>
                <w:rFonts w:cstheme="minorHAnsi"/>
                <w:noProof/>
              </w:rPr>
              <w:t>7.8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Training, Awareness &amp; Record Keeping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FBB8F91" w14:textId="4102E17B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5">
            <w:r w:rsidRPr="00104899" w:rsidR="00894881">
              <w:rPr>
                <w:rStyle w:val="Hyperlink"/>
                <w:noProof/>
              </w:rPr>
              <w:t>PART B: SANCTIONS RISK ASSESSMENT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097F9814" w14:textId="01A486A6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6">
            <w:r w:rsidRPr="00104899" w:rsidR="00894881">
              <w:rPr>
                <w:rStyle w:val="Hyperlink"/>
                <w:noProof/>
              </w:rPr>
              <w:t>8.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Executive Summary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EF9E80A" w14:textId="47381D29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7">
            <w:r w:rsidRPr="00104899" w:rsidR="00894881">
              <w:rPr>
                <w:rStyle w:val="Hyperlink"/>
                <w:rFonts w:cstheme="minorHAnsi"/>
                <w:noProof/>
              </w:rPr>
              <w:t>8.1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Enterprise-wide Inherent Risk Ratings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447D15A" w14:textId="679DE0F2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8">
            <w:r w:rsidRPr="00104899" w:rsidR="00894881">
              <w:rPr>
                <w:rStyle w:val="Hyperlink"/>
                <w:rFonts w:cstheme="minorHAnsi"/>
                <w:noProof/>
              </w:rPr>
              <w:t>8.2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Jurisdiction-wise Inherent Risk Ratings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2373E23" w14:textId="2E18E4A2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49">
            <w:r w:rsidRPr="00104899" w:rsidR="00894881">
              <w:rPr>
                <w:rStyle w:val="Hyperlink"/>
                <w:rFonts w:cstheme="minorHAnsi"/>
                <w:noProof/>
              </w:rPr>
              <w:t>8.3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Enterprise-wide Control Effectiveness Scores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_Toc131022749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11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C57B9C0" w14:textId="3C9C0AE4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0">
            <w:r w:rsidRPr="00104899" w:rsidR="00894881">
              <w:rPr>
                <w:rStyle w:val="Hyperlink"/>
                <w:rFonts w:cstheme="minorHAnsi"/>
                <w:noProof/>
              </w:rPr>
              <w:t>8.4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Enterprise-wide Residual Risk Rating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12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C7DF050" w14:textId="22F1CD55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1">
            <w:r w:rsidRPr="00104899" w:rsidR="00894881">
              <w:rPr>
                <w:rStyle w:val="Hyperlink"/>
                <w:noProof/>
              </w:rPr>
              <w:t>9.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Inherent Risk Assessment – Retail Banking Group (RBG)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12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167906C1" w14:textId="309CC939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2">
            <w:r w:rsidRPr="00104899" w:rsidR="00894881">
              <w:rPr>
                <w:rStyle w:val="Hyperlink"/>
                <w:rFonts w:cstheme="minorHAnsi"/>
                <w:noProof/>
              </w:rPr>
              <w:t>9.1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Mass Market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12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C04DDD9" w14:textId="118B4332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3">
            <w:r w:rsidRPr="00104899" w:rsidR="00894881">
              <w:rPr>
                <w:rStyle w:val="Hyperlink"/>
                <w:noProof/>
              </w:rPr>
              <w:t>9.1.1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12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1BFAF77" w14:textId="0192F788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4">
            <w:r w:rsidRPr="00104899" w:rsidR="00894881">
              <w:rPr>
                <w:rStyle w:val="Hyperlink"/>
                <w:noProof/>
              </w:rPr>
              <w:t>9.1.2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12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1BB35B5" w14:textId="0DA57B42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5">
            <w:r w:rsidRPr="00104899" w:rsidR="00894881">
              <w:rPr>
                <w:rStyle w:val="Hyperlink"/>
                <w:noProof/>
              </w:rPr>
              <w:t>9.1.3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12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1608338D" w14:textId="2FD8B3EB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6">
            <w:r w:rsidRPr="00104899" w:rsidR="00894881">
              <w:rPr>
                <w:rStyle w:val="Hyperlink"/>
                <w:noProof/>
              </w:rPr>
              <w:t>9.1.4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3AE770C" w14:textId="5707C5C3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7">
            <w:r w:rsidRPr="00104899" w:rsidR="00894881">
              <w:rPr>
                <w:rStyle w:val="Hyperlink"/>
                <w:rFonts w:cstheme="minorHAnsi"/>
                <w:noProof/>
              </w:rPr>
              <w:t>9.2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Private Banking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719E47E" w14:textId="21527BF5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8">
            <w:r w:rsidRPr="00104899" w:rsidR="00894881">
              <w:rPr>
                <w:rStyle w:val="Hyperlink"/>
                <w:noProof/>
              </w:rPr>
              <w:t>9.2.1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75FAD82" w14:textId="425F7BAC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59">
            <w:r w:rsidRPr="00104899" w:rsidR="00894881">
              <w:rPr>
                <w:rStyle w:val="Hyperlink"/>
                <w:noProof/>
              </w:rPr>
              <w:t>9.2.2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_Toc131022759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C90381B" w14:textId="3D3ACE16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0">
            <w:r w:rsidRPr="00104899" w:rsidR="00894881">
              <w:rPr>
                <w:rStyle w:val="Hyperlink"/>
                <w:noProof/>
              </w:rPr>
              <w:t>9.2.3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3C54285" w14:textId="68C0AD4E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1">
            <w:r w:rsidRPr="00104899" w:rsidR="00894881">
              <w:rPr>
                <w:rStyle w:val="Hyperlink"/>
                <w:noProof/>
              </w:rPr>
              <w:t>9.2.4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195B292" w14:textId="7FB0791A">
          <w:pPr>
            <w:pStyle w:val="TOC1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2">
            <w:r w:rsidRPr="00104899" w:rsidR="00894881">
              <w:rPr>
                <w:rStyle w:val="Hyperlink"/>
                <w:noProof/>
              </w:rPr>
              <w:t>10.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Inherent Risk Assessment – Corporate Banking Group (CBG)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6F0651A" w14:textId="0D9F227B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3">
            <w:r w:rsidRPr="00104899" w:rsidR="00894881">
              <w:rPr>
                <w:rStyle w:val="Hyperlink"/>
                <w:rFonts w:cstheme="minorHAnsi"/>
                <w:noProof/>
              </w:rPr>
              <w:t>10.1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Wholesale Banking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0F637D07" w14:textId="4A2B3213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4">
            <w:r w:rsidRPr="00104899" w:rsidR="00894881">
              <w:rPr>
                <w:rStyle w:val="Hyperlink"/>
                <w:noProof/>
              </w:rPr>
              <w:t>10.1.1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6C01C34" w14:textId="278FEB16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5">
            <w:r w:rsidRPr="00104899" w:rsidR="00894881">
              <w:rPr>
                <w:rStyle w:val="Hyperlink"/>
                <w:noProof/>
              </w:rPr>
              <w:t>10.1.2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306EC9A" w14:textId="11C88EA9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6">
            <w:r w:rsidRPr="00104899" w:rsidR="00894881">
              <w:rPr>
                <w:rStyle w:val="Hyperlink"/>
                <w:noProof/>
              </w:rPr>
              <w:t>10.1.3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BAFB791" w14:textId="724B51A6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7">
            <w:r w:rsidRPr="00104899" w:rsidR="00894881">
              <w:rPr>
                <w:rStyle w:val="Hyperlink"/>
                <w:noProof/>
              </w:rPr>
              <w:t>10.1.4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13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1F223DE6" w14:textId="11EF1656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8">
            <w:r w:rsidRPr="00104899" w:rsidR="00894881">
              <w:rPr>
                <w:rStyle w:val="Hyperlink"/>
                <w:rFonts w:cstheme="minorHAnsi"/>
                <w:noProof/>
              </w:rPr>
              <w:t>10.2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SME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FAD5CB8" w14:textId="7CE05A3E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69">
            <w:r w:rsidRPr="00104899" w:rsidR="00894881">
              <w:rPr>
                <w:rStyle w:val="Hyperlink"/>
                <w:noProof/>
              </w:rPr>
              <w:t>10.2.1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_Toc131022769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8CAF994" w14:textId="78E7AC2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0">
            <w:r w:rsidRPr="00104899" w:rsidR="00894881">
              <w:rPr>
                <w:rStyle w:val="Hyperlink"/>
                <w:noProof/>
              </w:rPr>
              <w:t>10.2.2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DD56A9F" w14:textId="39862E9C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1">
            <w:r w:rsidRPr="00104899" w:rsidR="00894881">
              <w:rPr>
                <w:rStyle w:val="Hyperlink"/>
                <w:noProof/>
              </w:rPr>
              <w:t>10.2.3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F683704" w14:textId="43F5AFDF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2">
            <w:r w:rsidRPr="00104899" w:rsidR="00894881">
              <w:rPr>
                <w:rStyle w:val="Hyperlink"/>
                <w:noProof/>
              </w:rPr>
              <w:t>10.2.4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3C138BD1" w14:textId="644944A6">
          <w:pPr>
            <w:pStyle w:val="TOC1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3">
            <w:r w:rsidRPr="00104899" w:rsidR="00894881">
              <w:rPr>
                <w:rStyle w:val="Hyperlink"/>
                <w:noProof/>
              </w:rPr>
              <w:t>11.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Inherent Risk Assessment – Treasury Banking Group (TBG)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4E791F6" w14:textId="320EB5F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4">
            <w:r w:rsidRPr="00104899" w:rsidR="00894881">
              <w:rPr>
                <w:rStyle w:val="Hyperlink"/>
                <w:noProof/>
              </w:rPr>
              <w:t>11.1.1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Customer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2D77DAE" w14:textId="445DBB65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5">
            <w:r w:rsidRPr="00104899" w:rsidR="00894881">
              <w:rPr>
                <w:rStyle w:val="Hyperlink"/>
                <w:noProof/>
              </w:rPr>
              <w:t>11.1.2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Products &amp; Services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FFD6AF5" w14:textId="51893B17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6">
            <w:r w:rsidRPr="00104899" w:rsidR="00894881">
              <w:rPr>
                <w:rStyle w:val="Hyperlink"/>
                <w:noProof/>
              </w:rPr>
              <w:t>11.1.3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Geography Risk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7FCFE50" w14:textId="0C5EA280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7">
            <w:r w:rsidRPr="00104899" w:rsidR="00894881">
              <w:rPr>
                <w:rStyle w:val="Hyperlink"/>
                <w:noProof/>
              </w:rPr>
              <w:t>11.1.4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Qualitative Risk Factors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14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FB51D94" w14:textId="4178C539">
          <w:pPr>
            <w:pStyle w:val="TOC1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8">
            <w:r w:rsidRPr="00104899" w:rsidR="00894881">
              <w:rPr>
                <w:rStyle w:val="Hyperlink"/>
                <w:noProof/>
              </w:rPr>
              <w:t>12.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noProof/>
              </w:rPr>
              <w:t>Control Environment Assessment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_Toc131022778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23C7A6D" w14:textId="41A989F9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79">
            <w:r w:rsidRPr="00104899" w:rsidR="00894881">
              <w:rPr>
                <w:rStyle w:val="Hyperlink"/>
                <w:rFonts w:cstheme="minorHAnsi"/>
                <w:noProof/>
              </w:rPr>
              <w:t>12.1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Governance and Risk Management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_Toc131022779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75318242" w14:textId="58C3F56F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80">
            <w:r w:rsidRPr="00104899" w:rsidR="00894881">
              <w:rPr>
                <w:rStyle w:val="Hyperlink"/>
                <w:rFonts w:cstheme="minorHAnsi"/>
                <w:noProof/>
              </w:rPr>
              <w:t>12.2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Policies and Procedures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_Toc131022780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075F15F1" w14:textId="0BC99146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81">
            <w:r w:rsidRPr="00104899" w:rsidR="00894881">
              <w:rPr>
                <w:rStyle w:val="Hyperlink"/>
                <w:rFonts w:cstheme="minorHAnsi"/>
                <w:noProof/>
              </w:rPr>
              <w:t>12.3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Name Screening &amp; CDD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_Toc131022781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5D96AAE" w14:textId="3CA2654E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82">
            <w:r w:rsidRPr="00104899" w:rsidR="00894881">
              <w:rPr>
                <w:rStyle w:val="Hyperlink"/>
                <w:rFonts w:cstheme="minorHAnsi"/>
                <w:noProof/>
              </w:rPr>
              <w:t>12.4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Payment Screening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_Toc131022782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0DE94E3" w14:textId="29486BF0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83">
            <w:r w:rsidRPr="00104899" w:rsidR="00894881">
              <w:rPr>
                <w:rStyle w:val="Hyperlink"/>
                <w:rFonts w:cstheme="minorHAnsi"/>
                <w:noProof/>
              </w:rPr>
              <w:t>12.5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Employee &amp; Third-Party Screening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_Toc131022783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15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5602B615" w14:textId="7B8186FD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84">
            <w:r w:rsidRPr="00104899" w:rsidR="00894881">
              <w:rPr>
                <w:rStyle w:val="Hyperlink"/>
                <w:rFonts w:cstheme="minorHAnsi"/>
                <w:noProof/>
              </w:rPr>
              <w:t>12.6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Compliance Assurance &amp; Independent Testing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_Toc131022784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411039DE" w14:textId="3DF5597B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85">
            <w:r w:rsidRPr="00104899" w:rsidR="00894881">
              <w:rPr>
                <w:rStyle w:val="Hyperlink"/>
                <w:rFonts w:cstheme="minorHAnsi"/>
                <w:noProof/>
              </w:rPr>
              <w:t>12.7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Reporting &amp; MIS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_Toc131022785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2688C541" w14:textId="2C877CE5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86">
            <w:r w:rsidRPr="00104899" w:rsidR="00894881">
              <w:rPr>
                <w:rStyle w:val="Hyperlink"/>
                <w:rFonts w:cstheme="minorHAnsi"/>
                <w:noProof/>
              </w:rPr>
              <w:t>12.8</w:t>
            </w:r>
            <w:r w:rsidR="00894881">
              <w:rPr>
                <w:rFonts w:eastAsiaTheme="minorEastAsia"/>
                <w:noProof/>
                <w:lang w:val="en-US"/>
              </w:rPr>
              <w:tab/>
            </w:r>
            <w:r w:rsidRPr="00104899" w:rsidR="00894881">
              <w:rPr>
                <w:rStyle w:val="Hyperlink"/>
                <w:rFonts w:cstheme="minorHAnsi"/>
                <w:noProof/>
              </w:rPr>
              <w:t>Training, Awareness &amp; Record Keeping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_Toc131022786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894881" w:rsidRDefault="00000000" w14:paraId="68040CA7" w14:textId="5AC9F82A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history="1" w:anchor="_Toc131022787">
            <w:r w:rsidRPr="00104899" w:rsidR="00894881">
              <w:rPr>
                <w:rStyle w:val="Hyperlink"/>
                <w:noProof/>
              </w:rPr>
              <w:t>Appendix 1 – Residual Risk Matrix</w:t>
            </w:r>
            <w:r w:rsidR="00894881">
              <w:rPr>
                <w:noProof/>
                <w:webHidden/>
              </w:rPr>
              <w:tab/>
            </w:r>
            <w:r w:rsidR="00894881">
              <w:rPr>
                <w:noProof/>
                <w:webHidden/>
              </w:rPr>
              <w:fldChar w:fldCharType="begin"/>
            </w:r>
            <w:r w:rsidR="00894881">
              <w:rPr>
                <w:noProof/>
                <w:webHidden/>
              </w:rPr>
              <w:instrText xml:space="preserve"> PAGEREF _Toc131022787 \h </w:instrText>
            </w:r>
            <w:r w:rsidR="00894881">
              <w:rPr>
                <w:noProof/>
                <w:webHidden/>
              </w:rPr>
            </w:r>
            <w:r w:rsidR="00894881">
              <w:rPr>
                <w:noProof/>
                <w:webHidden/>
              </w:rPr>
              <w:fldChar w:fldCharType="separate"/>
            </w:r>
            <w:r w:rsidR="00894881">
              <w:rPr>
                <w:noProof/>
                <w:webHidden/>
              </w:rPr>
              <w:t>16</w:t>
            </w:r>
            <w:r w:rsidR="00894881">
              <w:rPr>
                <w:noProof/>
                <w:webHidden/>
              </w:rPr>
              <w:fldChar w:fldCharType="end"/>
            </w:r>
          </w:hyperlink>
        </w:p>
        <w:p w:rsidR="005C1404" w:rsidRDefault="005C1404" w14:paraId="3ED87446" w14:textId="7E664BCA">
          <w:r>
            <w:rPr>
              <w:b/>
              <w:bCs/>
              <w:noProof/>
            </w:rPr>
            <w:fldChar w:fldCharType="end"/>
          </w:r>
        </w:p>
      </w:sdtContent>
    </w:sdt>
    <w:p w:rsidR="00EF334C" w:rsidP="005C1404" w:rsidRDefault="00EF334C" w14:paraId="79AA35D5" w14:textId="11E01AAD"/>
    <w:p w:rsidR="00EF334C" w:rsidP="005C1404" w:rsidRDefault="00EF334C" w14:paraId="36B81957" w14:textId="4FB0E3C3"/>
    <w:p w:rsidR="00894881" w:rsidP="005C1404" w:rsidRDefault="00894881" w14:paraId="6AFD2A47" w14:textId="77777777"/>
    <w:p w:rsidR="00894881" w:rsidP="005C1404" w:rsidRDefault="00894881" w14:paraId="6BEBAE03" w14:textId="77777777"/>
    <w:p w:rsidR="00894881" w:rsidP="005C1404" w:rsidRDefault="00894881" w14:paraId="09E147CA" w14:textId="77777777"/>
    <w:p w:rsidR="00894881" w:rsidP="005C1404" w:rsidRDefault="00894881" w14:paraId="6FBF0F43" w14:textId="77777777"/>
    <w:p w:rsidR="00894881" w:rsidP="005C1404" w:rsidRDefault="00894881" w14:paraId="2B912C57" w14:textId="77777777"/>
    <w:p w:rsidR="00894881" w:rsidP="005C1404" w:rsidRDefault="00894881" w14:paraId="5C04C8AE" w14:textId="77777777"/>
    <w:p w:rsidR="00894881" w:rsidP="005C1404" w:rsidRDefault="00894881" w14:paraId="4AA1E1CF" w14:textId="77777777"/>
    <w:p w:rsidR="00894881" w:rsidP="005C1404" w:rsidRDefault="00894881" w14:paraId="34FFF917" w14:textId="77777777"/>
    <w:p w:rsidR="00894881" w:rsidP="005C1404" w:rsidRDefault="00894881" w14:paraId="4502F522" w14:textId="77777777"/>
    <w:p w:rsidR="00EF334C" w:rsidP="00EF334C" w:rsidRDefault="00EF334C" w14:paraId="359CCFED" w14:textId="6258DFD9">
      <w:pPr>
        <w:pStyle w:val="Heading1"/>
      </w:pPr>
      <w:bookmarkStart w:name="_Toc107595488" w:id="0"/>
      <w:bookmarkStart w:name="_Toc131022696" w:id="1"/>
      <w:r>
        <w:lastRenderedPageBreak/>
        <w:t>Introduction</w:t>
      </w:r>
      <w:bookmarkEnd w:id="0"/>
      <w:bookmarkEnd w:id="1"/>
    </w:p>
    <w:p w:rsidR="00753C86" w:rsidP="00753C86" w:rsidRDefault="00753C86" w14:paraId="50898FAA" w14:textId="77777777">
      <w:pPr>
        <w:rPr>
          <w:lang w:val="en-US"/>
        </w:rPr>
      </w:pPr>
    </w:p>
    <w:p w:rsidR="00753C86" w:rsidP="00753C86" w:rsidRDefault="00753C86" w14:paraId="2349B504" w14:textId="77777777">
      <w:pPr>
        <w:rPr>
          <w:lang w:val="en-US"/>
        </w:rPr>
      </w:pPr>
    </w:p>
    <w:p w:rsidR="00753C86" w:rsidP="00753C86" w:rsidRDefault="00753C86" w14:paraId="44E0FE43" w14:textId="77777777">
      <w:pPr>
        <w:rPr>
          <w:lang w:val="en-US"/>
        </w:rPr>
      </w:pPr>
    </w:p>
    <w:p w:rsidR="00753C86" w:rsidP="00753C86" w:rsidRDefault="00753C86" w14:paraId="286FB8DC" w14:textId="77777777">
      <w:pPr>
        <w:rPr>
          <w:lang w:val="en-US"/>
        </w:rPr>
      </w:pPr>
    </w:p>
    <w:p w:rsidR="00753C86" w:rsidP="00753C86" w:rsidRDefault="00753C86" w14:paraId="2C00A52F" w14:textId="77777777">
      <w:pPr>
        <w:rPr>
          <w:lang w:val="en-US"/>
        </w:rPr>
      </w:pPr>
    </w:p>
    <w:p w:rsidR="00753C86" w:rsidP="00753C86" w:rsidRDefault="00753C86" w14:paraId="5702413E" w14:textId="77777777">
      <w:pPr>
        <w:rPr>
          <w:lang w:val="en-US"/>
        </w:rPr>
      </w:pPr>
    </w:p>
    <w:p w:rsidR="00753C86" w:rsidP="00753C86" w:rsidRDefault="00753C86" w14:paraId="209C3AAD" w14:textId="77777777">
      <w:pPr>
        <w:rPr>
          <w:lang w:val="en-US"/>
        </w:rPr>
      </w:pPr>
    </w:p>
    <w:p w:rsidR="00753C86" w:rsidP="00753C86" w:rsidRDefault="00753C86" w14:paraId="02E82138" w14:textId="77777777">
      <w:pPr>
        <w:rPr>
          <w:lang w:val="en-US"/>
        </w:rPr>
      </w:pPr>
    </w:p>
    <w:p w:rsidR="00753C86" w:rsidP="00753C86" w:rsidRDefault="00753C86" w14:paraId="7361F004" w14:textId="77777777">
      <w:pPr>
        <w:rPr>
          <w:lang w:val="en-US"/>
        </w:rPr>
      </w:pPr>
    </w:p>
    <w:p w:rsidR="00753C86" w:rsidP="00753C86" w:rsidRDefault="00753C86" w14:paraId="2508B586" w14:textId="77777777">
      <w:pPr>
        <w:rPr>
          <w:lang w:val="en-US"/>
        </w:rPr>
      </w:pPr>
    </w:p>
    <w:p w:rsidR="00753C86" w:rsidP="00753C86" w:rsidRDefault="00753C86" w14:paraId="65512BDE" w14:textId="77777777">
      <w:pPr>
        <w:rPr>
          <w:lang w:val="en-US"/>
        </w:rPr>
      </w:pPr>
    </w:p>
    <w:p w:rsidR="00753C86" w:rsidP="00753C86" w:rsidRDefault="00753C86" w14:paraId="432247BE" w14:textId="77777777">
      <w:pPr>
        <w:rPr>
          <w:lang w:val="en-US"/>
        </w:rPr>
      </w:pPr>
    </w:p>
    <w:p w:rsidR="00753C86" w:rsidP="00753C86" w:rsidRDefault="00753C86" w14:paraId="6D54230D" w14:textId="77777777">
      <w:pPr>
        <w:rPr>
          <w:lang w:val="en-US"/>
        </w:rPr>
      </w:pPr>
    </w:p>
    <w:p w:rsidR="00753C86" w:rsidP="00753C86" w:rsidRDefault="00753C86" w14:paraId="19CBA3FD" w14:textId="77777777">
      <w:pPr>
        <w:rPr>
          <w:lang w:val="en-US"/>
        </w:rPr>
      </w:pPr>
    </w:p>
    <w:p w:rsidR="00753C86" w:rsidP="00753C86" w:rsidRDefault="00753C86" w14:paraId="09A03729" w14:textId="77777777">
      <w:pPr>
        <w:rPr>
          <w:lang w:val="en-US"/>
        </w:rPr>
      </w:pPr>
    </w:p>
    <w:p w:rsidR="00753C86" w:rsidP="00753C86" w:rsidRDefault="00753C86" w14:paraId="6E892239" w14:textId="77777777">
      <w:pPr>
        <w:rPr>
          <w:lang w:val="en-US"/>
        </w:rPr>
      </w:pPr>
    </w:p>
    <w:p w:rsidR="00753C86" w:rsidP="00753C86" w:rsidRDefault="00753C86" w14:paraId="6B3F670B" w14:textId="77777777">
      <w:pPr>
        <w:rPr>
          <w:lang w:val="en-US"/>
        </w:rPr>
      </w:pPr>
    </w:p>
    <w:p w:rsidR="00753C86" w:rsidP="00753C86" w:rsidRDefault="00753C86" w14:paraId="60CF1E89" w14:textId="77777777">
      <w:pPr>
        <w:rPr>
          <w:lang w:val="en-US"/>
        </w:rPr>
      </w:pPr>
    </w:p>
    <w:p w:rsidR="00753C86" w:rsidP="00753C86" w:rsidRDefault="00753C86" w14:paraId="18EADD3F" w14:textId="77777777">
      <w:pPr>
        <w:rPr>
          <w:lang w:val="en-US"/>
        </w:rPr>
      </w:pPr>
    </w:p>
    <w:p w:rsidR="00753C86" w:rsidP="00753C86" w:rsidRDefault="00753C86" w14:paraId="46886BAB" w14:textId="77777777">
      <w:pPr>
        <w:rPr>
          <w:lang w:val="en-US"/>
        </w:rPr>
      </w:pPr>
    </w:p>
    <w:p w:rsidR="00753C86" w:rsidP="00753C86" w:rsidRDefault="00753C86" w14:paraId="1C6AEBFC" w14:textId="77777777">
      <w:pPr>
        <w:rPr>
          <w:lang w:val="en-US"/>
        </w:rPr>
      </w:pPr>
    </w:p>
    <w:p w:rsidR="00753C86" w:rsidP="00753C86" w:rsidRDefault="00753C86" w14:paraId="0AD1E5E3" w14:textId="77777777">
      <w:pPr>
        <w:rPr>
          <w:lang w:val="en-US"/>
        </w:rPr>
      </w:pPr>
    </w:p>
    <w:p w:rsidR="00753C86" w:rsidP="00753C86" w:rsidRDefault="00753C86" w14:paraId="01011D4A" w14:textId="77777777">
      <w:pPr>
        <w:rPr>
          <w:lang w:val="en-US"/>
        </w:rPr>
      </w:pPr>
    </w:p>
    <w:p w:rsidR="00753C86" w:rsidP="00753C86" w:rsidRDefault="00753C86" w14:paraId="5AE61F70" w14:textId="77777777">
      <w:pPr>
        <w:rPr>
          <w:lang w:val="en-US"/>
        </w:rPr>
      </w:pPr>
    </w:p>
    <w:p w:rsidR="00753C86" w:rsidP="00753C86" w:rsidRDefault="00753C86" w14:paraId="0E3A0C20" w14:textId="77777777">
      <w:pPr>
        <w:rPr>
          <w:lang w:val="en-US"/>
        </w:rPr>
      </w:pPr>
    </w:p>
    <w:p w:rsidR="00753C86" w:rsidP="00753C86" w:rsidRDefault="00753C86" w14:paraId="394814D2" w14:textId="77777777">
      <w:pPr>
        <w:rPr>
          <w:lang w:val="en-US"/>
        </w:rPr>
      </w:pPr>
    </w:p>
    <w:p w:rsidR="00753C86" w:rsidP="00753C86" w:rsidRDefault="00753C86" w14:paraId="68CC9058" w14:textId="77777777">
      <w:pPr>
        <w:rPr>
          <w:lang w:val="en-US"/>
        </w:rPr>
      </w:pPr>
    </w:p>
    <w:p w:rsidRPr="00753C86" w:rsidR="00753C86" w:rsidP="00753C86" w:rsidRDefault="00753C86" w14:paraId="3C30FC3C" w14:textId="77777777">
      <w:pPr>
        <w:rPr>
          <w:lang w:val="en-US"/>
        </w:rPr>
      </w:pPr>
    </w:p>
    <w:p w:rsidR="00957DE7" w:rsidP="00957DE7" w:rsidRDefault="00957DE7" w14:paraId="18DFC6E7" w14:textId="5AD3D369">
      <w:pPr>
        <w:pStyle w:val="Heading1"/>
      </w:pPr>
      <w:bookmarkStart w:name="_Toc131022697" w:id="2"/>
      <w:r>
        <w:lastRenderedPageBreak/>
        <w:t xml:space="preserve">Financial Crime Risk Assessment </w:t>
      </w:r>
      <w:r w:rsidR="00753C86">
        <w:t>Approach &amp; Methodology</w:t>
      </w:r>
      <w:bookmarkEnd w:id="2"/>
    </w:p>
    <w:p w:rsidR="00000DB3" w:rsidP="00000DB3" w:rsidRDefault="00000DB3" w14:paraId="65BAFD70" w14:textId="5199908C">
      <w:pPr>
        <w:spacing w:after="0" w:line="240" w:lineRule="auto"/>
        <w:jc w:val="both"/>
      </w:pPr>
    </w:p>
    <w:p w:rsidR="00000DB3" w:rsidP="00000DB3" w:rsidRDefault="00000DB3" w14:paraId="0B4B230E" w14:textId="5C8C7B8B">
      <w:pPr>
        <w:spacing w:after="0" w:line="240" w:lineRule="auto"/>
        <w:jc w:val="both"/>
      </w:pPr>
    </w:p>
    <w:p w:rsidR="00000DB3" w:rsidP="00000DB3" w:rsidRDefault="00000DB3" w14:paraId="146C6AD3" w14:textId="1E4AE6A3">
      <w:pPr>
        <w:spacing w:after="0" w:line="240" w:lineRule="auto"/>
        <w:jc w:val="both"/>
      </w:pPr>
    </w:p>
    <w:p w:rsidR="00000DB3" w:rsidP="00000DB3" w:rsidRDefault="00000DB3" w14:paraId="3A7EC7B8" w14:textId="2CC0A2C7">
      <w:pPr>
        <w:spacing w:after="0" w:line="240" w:lineRule="auto"/>
        <w:jc w:val="both"/>
      </w:pPr>
    </w:p>
    <w:p w:rsidR="00000DB3" w:rsidP="00000DB3" w:rsidRDefault="00000DB3" w14:paraId="75318A53" w14:textId="089490C9">
      <w:pPr>
        <w:spacing w:after="0" w:line="240" w:lineRule="auto"/>
        <w:jc w:val="both"/>
      </w:pPr>
    </w:p>
    <w:p w:rsidR="00000DB3" w:rsidP="00000DB3" w:rsidRDefault="00000DB3" w14:paraId="46832199" w14:textId="2FACB55D">
      <w:pPr>
        <w:spacing w:after="0" w:line="240" w:lineRule="auto"/>
        <w:jc w:val="both"/>
      </w:pPr>
    </w:p>
    <w:p w:rsidR="00000DB3" w:rsidP="00000DB3" w:rsidRDefault="00000DB3" w14:paraId="0FB66EE7" w14:textId="64C95DA5">
      <w:pPr>
        <w:spacing w:after="0" w:line="240" w:lineRule="auto"/>
        <w:jc w:val="both"/>
      </w:pPr>
    </w:p>
    <w:p w:rsidR="00000DB3" w:rsidP="00000DB3" w:rsidRDefault="00000DB3" w14:paraId="1C1A78F5" w14:textId="3E9F05B4">
      <w:pPr>
        <w:spacing w:after="0" w:line="240" w:lineRule="auto"/>
        <w:jc w:val="both"/>
      </w:pPr>
    </w:p>
    <w:p w:rsidR="00000DB3" w:rsidP="00000DB3" w:rsidRDefault="00000DB3" w14:paraId="75AA94CB" w14:textId="2C1B17C0">
      <w:pPr>
        <w:spacing w:after="0" w:line="240" w:lineRule="auto"/>
        <w:jc w:val="both"/>
      </w:pPr>
    </w:p>
    <w:p w:rsidR="00000DB3" w:rsidP="00000DB3" w:rsidRDefault="00000DB3" w14:paraId="266AD8B9" w14:textId="6C08FEFB">
      <w:pPr>
        <w:spacing w:after="0" w:line="240" w:lineRule="auto"/>
        <w:jc w:val="both"/>
      </w:pPr>
    </w:p>
    <w:p w:rsidR="00000DB3" w:rsidP="00000DB3" w:rsidRDefault="00000DB3" w14:paraId="750D6A8A" w14:textId="6FD6B5F0">
      <w:pPr>
        <w:spacing w:after="0" w:line="240" w:lineRule="auto"/>
        <w:jc w:val="both"/>
      </w:pPr>
    </w:p>
    <w:p w:rsidR="00E046AB" w:rsidP="00000DB3" w:rsidRDefault="00E046AB" w14:paraId="1B0EBCF7" w14:textId="1F73FE1D">
      <w:pPr>
        <w:spacing w:after="0" w:line="240" w:lineRule="auto"/>
        <w:jc w:val="both"/>
      </w:pPr>
    </w:p>
    <w:p w:rsidR="00E046AB" w:rsidP="00000DB3" w:rsidRDefault="00E046AB" w14:paraId="3FE862B8" w14:textId="31BC0AE0">
      <w:pPr>
        <w:spacing w:after="0" w:line="240" w:lineRule="auto"/>
        <w:jc w:val="both"/>
      </w:pPr>
    </w:p>
    <w:p w:rsidR="00E046AB" w:rsidP="00000DB3" w:rsidRDefault="00E046AB" w14:paraId="15FA1370" w14:textId="28757681">
      <w:pPr>
        <w:spacing w:after="0" w:line="240" w:lineRule="auto"/>
        <w:jc w:val="both"/>
      </w:pPr>
    </w:p>
    <w:p w:rsidR="00E046AB" w:rsidP="00000DB3" w:rsidRDefault="00E046AB" w14:paraId="3D500D3A" w14:textId="121C4C8A">
      <w:pPr>
        <w:spacing w:after="0" w:line="240" w:lineRule="auto"/>
        <w:jc w:val="both"/>
      </w:pPr>
    </w:p>
    <w:p w:rsidR="00E046AB" w:rsidP="00000DB3" w:rsidRDefault="00E046AB" w14:paraId="62B0FD3B" w14:textId="50DA7EA2">
      <w:pPr>
        <w:spacing w:after="0" w:line="240" w:lineRule="auto"/>
        <w:jc w:val="both"/>
      </w:pPr>
    </w:p>
    <w:p w:rsidR="00E046AB" w:rsidP="00000DB3" w:rsidRDefault="00E046AB" w14:paraId="6938EA36" w14:textId="6369BE96">
      <w:pPr>
        <w:spacing w:after="0" w:line="240" w:lineRule="auto"/>
        <w:jc w:val="both"/>
      </w:pPr>
    </w:p>
    <w:p w:rsidR="00E046AB" w:rsidP="00000DB3" w:rsidRDefault="00E046AB" w14:paraId="6AC1668B" w14:textId="042C7851">
      <w:pPr>
        <w:spacing w:after="0" w:line="240" w:lineRule="auto"/>
        <w:jc w:val="both"/>
      </w:pPr>
    </w:p>
    <w:p w:rsidR="00E046AB" w:rsidP="00000DB3" w:rsidRDefault="00E046AB" w14:paraId="6B8F9CED" w14:textId="77777777">
      <w:pPr>
        <w:spacing w:after="0" w:line="240" w:lineRule="auto"/>
        <w:jc w:val="both"/>
      </w:pPr>
    </w:p>
    <w:p w:rsidR="00753C86" w:rsidP="00000DB3" w:rsidRDefault="00753C86" w14:paraId="21240E84" w14:textId="77777777">
      <w:pPr>
        <w:spacing w:after="0" w:line="240" w:lineRule="auto"/>
        <w:jc w:val="both"/>
      </w:pPr>
    </w:p>
    <w:p w:rsidR="00753C86" w:rsidP="00000DB3" w:rsidRDefault="00753C86" w14:paraId="270AAC72" w14:textId="77777777">
      <w:pPr>
        <w:spacing w:after="0" w:line="240" w:lineRule="auto"/>
        <w:jc w:val="both"/>
      </w:pPr>
    </w:p>
    <w:p w:rsidR="00753C86" w:rsidP="00000DB3" w:rsidRDefault="00753C86" w14:paraId="3CB48D45" w14:textId="77777777">
      <w:pPr>
        <w:spacing w:after="0" w:line="240" w:lineRule="auto"/>
        <w:jc w:val="both"/>
      </w:pPr>
    </w:p>
    <w:p w:rsidR="00753C86" w:rsidP="00000DB3" w:rsidRDefault="00753C86" w14:paraId="182D2605" w14:textId="77777777">
      <w:pPr>
        <w:spacing w:after="0" w:line="240" w:lineRule="auto"/>
        <w:jc w:val="both"/>
      </w:pPr>
    </w:p>
    <w:p w:rsidR="00753C86" w:rsidP="00000DB3" w:rsidRDefault="00753C86" w14:paraId="4CD7BDB7" w14:textId="77777777">
      <w:pPr>
        <w:spacing w:after="0" w:line="240" w:lineRule="auto"/>
        <w:jc w:val="both"/>
      </w:pPr>
    </w:p>
    <w:p w:rsidR="00753C86" w:rsidP="00000DB3" w:rsidRDefault="00753C86" w14:paraId="2AADD62D" w14:textId="77777777">
      <w:pPr>
        <w:spacing w:after="0" w:line="240" w:lineRule="auto"/>
        <w:jc w:val="both"/>
      </w:pPr>
    </w:p>
    <w:p w:rsidR="00753C86" w:rsidP="00000DB3" w:rsidRDefault="00753C86" w14:paraId="7512FC4E" w14:textId="77777777">
      <w:pPr>
        <w:spacing w:after="0" w:line="240" w:lineRule="auto"/>
        <w:jc w:val="both"/>
      </w:pPr>
    </w:p>
    <w:p w:rsidR="00753C86" w:rsidP="00000DB3" w:rsidRDefault="00753C86" w14:paraId="64B956A3" w14:textId="77777777">
      <w:pPr>
        <w:spacing w:after="0" w:line="240" w:lineRule="auto"/>
        <w:jc w:val="both"/>
      </w:pPr>
    </w:p>
    <w:p w:rsidR="00753C86" w:rsidP="00000DB3" w:rsidRDefault="00753C86" w14:paraId="67C56F03" w14:textId="77777777">
      <w:pPr>
        <w:spacing w:after="0" w:line="240" w:lineRule="auto"/>
        <w:jc w:val="both"/>
      </w:pPr>
    </w:p>
    <w:p w:rsidR="00753C86" w:rsidP="00000DB3" w:rsidRDefault="00753C86" w14:paraId="221B2FC9" w14:textId="77777777">
      <w:pPr>
        <w:spacing w:after="0" w:line="240" w:lineRule="auto"/>
        <w:jc w:val="both"/>
      </w:pPr>
    </w:p>
    <w:p w:rsidR="00753C86" w:rsidP="00000DB3" w:rsidRDefault="00753C86" w14:paraId="2B91719C" w14:textId="77777777">
      <w:pPr>
        <w:spacing w:after="0" w:line="240" w:lineRule="auto"/>
        <w:jc w:val="both"/>
      </w:pPr>
    </w:p>
    <w:p w:rsidR="00753C86" w:rsidP="00000DB3" w:rsidRDefault="00753C86" w14:paraId="71951D86" w14:textId="77777777">
      <w:pPr>
        <w:spacing w:after="0" w:line="240" w:lineRule="auto"/>
        <w:jc w:val="both"/>
      </w:pPr>
    </w:p>
    <w:p w:rsidR="00753C86" w:rsidP="00000DB3" w:rsidRDefault="00753C86" w14:paraId="63FD6314" w14:textId="77777777">
      <w:pPr>
        <w:spacing w:after="0" w:line="240" w:lineRule="auto"/>
        <w:jc w:val="both"/>
      </w:pPr>
    </w:p>
    <w:p w:rsidR="00753C86" w:rsidP="00000DB3" w:rsidRDefault="00753C86" w14:paraId="1DA72EB6" w14:textId="77777777">
      <w:pPr>
        <w:spacing w:after="0" w:line="240" w:lineRule="auto"/>
        <w:jc w:val="both"/>
      </w:pPr>
    </w:p>
    <w:p w:rsidR="00753C86" w:rsidP="00000DB3" w:rsidRDefault="00753C86" w14:paraId="027B6E8D" w14:textId="77777777">
      <w:pPr>
        <w:spacing w:after="0" w:line="240" w:lineRule="auto"/>
        <w:jc w:val="both"/>
      </w:pPr>
    </w:p>
    <w:p w:rsidR="00753C86" w:rsidP="00000DB3" w:rsidRDefault="00753C86" w14:paraId="2869BC8C" w14:textId="77777777">
      <w:pPr>
        <w:spacing w:after="0" w:line="240" w:lineRule="auto"/>
        <w:jc w:val="both"/>
      </w:pPr>
    </w:p>
    <w:p w:rsidR="00753C86" w:rsidP="00000DB3" w:rsidRDefault="00753C86" w14:paraId="6E4A6E23" w14:textId="77777777">
      <w:pPr>
        <w:spacing w:after="0" w:line="240" w:lineRule="auto"/>
        <w:jc w:val="both"/>
      </w:pPr>
    </w:p>
    <w:p w:rsidR="00753C86" w:rsidP="00000DB3" w:rsidRDefault="00753C86" w14:paraId="39E11084" w14:textId="77777777">
      <w:pPr>
        <w:spacing w:after="0" w:line="240" w:lineRule="auto"/>
        <w:jc w:val="both"/>
      </w:pPr>
    </w:p>
    <w:p w:rsidR="00753C86" w:rsidP="00000DB3" w:rsidRDefault="00753C86" w14:paraId="7336BC49" w14:textId="77777777">
      <w:pPr>
        <w:spacing w:after="0" w:line="240" w:lineRule="auto"/>
        <w:jc w:val="both"/>
      </w:pPr>
    </w:p>
    <w:p w:rsidR="00753C86" w:rsidP="00000DB3" w:rsidRDefault="00753C86" w14:paraId="3A492351" w14:textId="77777777">
      <w:pPr>
        <w:spacing w:after="0" w:line="240" w:lineRule="auto"/>
        <w:jc w:val="both"/>
      </w:pPr>
    </w:p>
    <w:p w:rsidR="00753C86" w:rsidP="00000DB3" w:rsidRDefault="00753C86" w14:paraId="428F21BD" w14:textId="77777777">
      <w:pPr>
        <w:spacing w:after="0" w:line="240" w:lineRule="auto"/>
        <w:jc w:val="both"/>
      </w:pPr>
    </w:p>
    <w:p w:rsidR="00753C86" w:rsidP="00000DB3" w:rsidRDefault="00753C86" w14:paraId="082AFE4D" w14:textId="77777777">
      <w:pPr>
        <w:spacing w:after="0" w:line="240" w:lineRule="auto"/>
        <w:jc w:val="both"/>
      </w:pPr>
    </w:p>
    <w:p w:rsidR="00753C86" w:rsidP="00000DB3" w:rsidRDefault="00753C86" w14:paraId="41333048" w14:textId="77777777">
      <w:pPr>
        <w:spacing w:after="0" w:line="240" w:lineRule="auto"/>
        <w:jc w:val="both"/>
      </w:pPr>
    </w:p>
    <w:p w:rsidR="009D05F8" w:rsidP="00000DB3" w:rsidRDefault="009D05F8" w14:paraId="018AA116" w14:textId="77777777">
      <w:pPr>
        <w:spacing w:after="0" w:line="240" w:lineRule="auto"/>
        <w:jc w:val="both"/>
      </w:pPr>
    </w:p>
    <w:p w:rsidR="009D05F8" w:rsidP="00000DB3" w:rsidRDefault="009D05F8" w14:paraId="21F307BF" w14:textId="77777777">
      <w:pPr>
        <w:spacing w:after="0" w:line="240" w:lineRule="auto"/>
        <w:jc w:val="both"/>
      </w:pPr>
    </w:p>
    <w:p w:rsidR="00000DB3" w:rsidP="00487EBF" w:rsidRDefault="00000DB3" w14:paraId="05B332E2" w14:textId="2D24CFA6">
      <w:pPr>
        <w:pStyle w:val="Heading1"/>
        <w:numPr>
          <w:ilvl w:val="0"/>
          <w:numId w:val="0"/>
        </w:numPr>
      </w:pPr>
      <w:bookmarkStart w:name="_Toc107595511" w:id="3"/>
      <w:bookmarkStart w:name="_Toc131022698" w:id="4"/>
      <w:r w:rsidRPr="00000DB3">
        <w:lastRenderedPageBreak/>
        <w:t>PART A: MONEY LAUNDERING RISK ASSESSMENT</w:t>
      </w:r>
      <w:bookmarkEnd w:id="3"/>
      <w:bookmarkEnd w:id="4"/>
    </w:p>
    <w:p w:rsidR="00000DB3" w:rsidP="00000DB3" w:rsidRDefault="00000DB3" w14:paraId="7932AE4B" w14:textId="5EA5C71C">
      <w:pPr>
        <w:pStyle w:val="Heading1"/>
      </w:pPr>
      <w:bookmarkStart w:name="_Toc131022699" w:id="5"/>
      <w:r>
        <w:t>Executive Summary</w:t>
      </w:r>
      <w:bookmarkEnd w:id="5"/>
    </w:p>
    <w:p w:rsidRPr="006B14D7" w:rsidR="001D1127" w:rsidP="001D1127" w:rsidRDefault="006B14D7" w14:paraId="2D0A0A4F" w14:textId="50E39A48">
      <w:pPr>
        <w:rPr>
          <w:lang w:val="en-US"/>
        </w:rPr>
      </w:pPr>
      <w:r>
        <w:rPr>
          <w:lang w:val="en-US"/>
        </w:rPr>
        <w:t/>
      </w:r>
    </w:p>
    <w:tbl>
      <w:tblPr>
        <w:tblBorders>
          <w:top w:val="single" w:sz="15"/>
          <w:bottom w:val="single" w:sz="15"/>
          <w:left w:val="single" w:sz="15"/>
          <w:right w:val="single" w:sz="15"/>
          <w:insideH w:val="single" w:sz="10"/>
          <w:insideV w:val="single" w:sz="10"/>
        </w:tblBorders>
      </w:tblPr>
      <w:tr>
        <w:tc>
          <w:tcPr>
            <w:tcW w:w="3600" w:type="dxa"/>
          </w:tcPr>
          <w:p>
            <w:r>
              <w:rPr>
                <w:b/>
                <w:t>Control Assessment</w:t>
              </w:rPr>
            </w:r>
          </w:p>
          <w:tcPr>
            <w:hMerge w:val="restart"/>
            <w:vAlign w:val="center"/>
            <w:shd w:val="solid" w:color="black" w:fill="ABCDEF"/>
          </w:tcPr>
        </w:tc>
        <w:tc>
          <w:tcPr>
            <w:tcW w:w="2400" w:type="dxa"/>
          </w:tcPr>
          <w:p>
            <w:r>
              <w:rPr>
                <w:t/>
              </w:rPr>
            </w:r>
          </w:p>
          <w:tcPr>
            <w:hMerge/>
          </w:tcPr>
        </w:tc>
        <w:tc>
          <w:tcPr>
            <w:tcW w:w="1800" w:type="dxa"/>
          </w:tcPr>
          <w:p>
            <w:r>
              <w:rPr>
                <w:t/>
              </w:rPr>
            </w:r>
          </w:p>
          <w:tcPr>
            <w:hMerge/>
          </w:tcPr>
        </w:tc>
        <w:tc>
          <w:tcPr>
            <w:tcW w:w="2400" w:type="dxa"/>
          </w:tcPr>
          <w:p>
            <w:r>
              <w:rPr>
                <w:t/>
              </w:rPr>
            </w:r>
          </w:p>
          <w:tcPr>
            <w:hMerge/>
          </w:tcPr>
        </w:tc>
      </w:tr>
      <w:tr>
        <w:tc>
          <w:tcPr>
            <w:tcW w:w="3600" w:type="dxa"/>
          </w:tcPr>
          <w:p>
            <w:r>
              <w:rPr>
                <w:b/>
                <w:t>Risk Category</w:t>
              </w:rPr>
            </w:r>
          </w:p>
        </w:tc>
        <w:tc>
          <w:tcPr>
            <w:tcW w:w="2400" w:type="dxa"/>
          </w:tcPr>
          <w:p>
            <w:r>
              <w:rPr>
                <w:b/>
                <w:t>Category Weights</w:t>
              </w:rPr>
            </w:r>
          </w:p>
        </w:tc>
        <w:tc>
          <w:tcPr>
            <w:tcW w:w="1800" w:type="dxa"/>
          </w:tcPr>
          <w:p>
            <w:r>
              <w:rPr>
                <w:b/>
                <w:t>Risk Score</w:t>
              </w:rPr>
            </w:r>
          </w:p>
        </w:tc>
        <w:tc>
          <w:tcPr>
            <w:tcW w:w="2400" w:type="dxa"/>
          </w:tcPr>
          <w:p>
            <w:r>
              <w:rPr>
                <w:b/>
                <w:t>Weighted Score</w:t>
              </w:rPr>
            </w:r>
          </w:p>
        </w:tc>
      </w:tr>
      <w:tr>
        <w:tc>
          <w:tcPr>
            <w:tcW w:w="3600" w:type="dxa"/>
          </w:tcPr>
          <w:p>
            <w:r>
              <w:t>Risk Factor 14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3.00</w:t>
            </w:r>
          </w:p>
          <w:tcPr>
            <w:tcW w:w="1800" w:type="dxa"/>
            <w:shd w:val="solid" w:color="Red" w:fill="ABCDEF"/>
          </w:tcPr>
        </w:tc>
        <w:tc>
          <w:tcPr>
            <w:tcW w:w="2400" w:type="dxa"/>
          </w:tcPr>
          <w:p>
            <w:r>
              <w:t>3.00</w:t>
            </w:r>
          </w:p>
        </w:tc>
      </w:tr>
      <w:tr>
        <w:tc>
          <w:tcPr>
            <w:tcW w:w="3600" w:type="dxa"/>
          </w:tcPr>
          <w:p>
            <w:r>
              <w:t>Risk Factor 15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2.00</w:t>
            </w:r>
          </w:p>
          <w:tcPr>
            <w:tcW w:w="1800" w:type="dxa"/>
            <w:shd w:val="solid" w:color="DarkOrange" w:fill="ABCDEF"/>
          </w:tcPr>
        </w:tc>
        <w:tc>
          <w:tcPr>
            <w:tcW w:w="2400" w:type="dxa"/>
          </w:tcPr>
          <w:p>
            <w:r>
              <w:t>2.00</w:t>
            </w:r>
          </w:p>
        </w:tc>
      </w:tr>
      <w:tr>
        <w:tc>
          <w:tcPr>
            <w:tcW w:w="3600" w:type="dxa"/>
          </w:tcPr>
          <w:p>
            <w:r>
              <w:t>Aggregate Control Assessment Rating</w:t>
            </w:r>
          </w:p>
          <w:tcPr>
            <w:hMerge w:val="restart"/>
          </w:tcPr>
        </w:tc>
        <w:tc>
          <w:tcPr>
            <w:tcW w:w="2400" w:type="dxa"/>
          </w:tcPr>
          <w:p>
            <w:r>
              <w:t>0</w:t>
            </w:r>
          </w:p>
          <w:tcPr>
            <w:hMerge/>
          </w:tcPr>
        </w:tc>
        <w:tc>
          <w:p>
            <w:r>
              <w:t>0</w:t>
            </w:r>
          </w:p>
          <w:tcPr>
            <w:tcW w:w="1800" w:type="dxa"/>
            <w:shd w:val="solid" w:color="Red" w:fill="ABCDEF"/>
          </w:tcPr>
          <w:tcPr>
            <w:hMerge/>
          </w:tcPr>
        </w:tc>
        <w:tc>
          <w:p>
            <w:r>
              <w:t>5.00</w:t>
            </w:r>
          </w:p>
          <w:tcPr>
            <w:tcW w:w="1800" w:type="dxa"/>
            <w:shd w:val="solid" w:color="Red" w:fill="ABCDEF"/>
          </w:tcPr>
        </w:tc>
      </w:tr>
    </w:tbl>
    <w:p w:rsidRPr="006B14D7" w:rsidR="001D1127" w:rsidP="001D1127" w:rsidRDefault="001D1127" w14:paraId="56E8278C" w14:textId="77777777">
      <w:pPr>
        <w:rPr>
          <w:lang w:val="en-US"/>
        </w:rPr>
      </w:pPr>
      <w:r>
        <w:rPr>
          <w:lang w:val="en-US"/>
        </w:rPr>
        <w:t/>
      </w:r>
    </w:p>
    <w:tbl>
      <w:tblPr>
        <w:tblBorders>
          <w:top w:val="single" w:sz="15"/>
          <w:bottom w:val="single" w:sz="15"/>
          <w:left w:val="single" w:sz="15"/>
          <w:right w:val="single" w:sz="15"/>
          <w:insideH w:val="single" w:sz="10"/>
          <w:insideV w:val="single" w:sz="10"/>
        </w:tblBorders>
      </w:tblPr>
      <w:tr>
        <w:tc>
          <w:tcPr>
            <w:tcW w:w="3600" w:type="dxa"/>
          </w:tcPr>
          <w:p>
            <w:r>
              <w:rPr>
                <w:b/>
                <w:t>Inherent Risk Assessment</w:t>
              </w:rPr>
            </w:r>
          </w:p>
          <w:tcPr>
            <w:hMerge w:val="restart"/>
            <w:vAlign w:val="center"/>
            <w:shd w:val="solid" w:color="black" w:fill="ABCDEF"/>
          </w:tcPr>
        </w:tc>
        <w:tc>
          <w:tcPr>
            <w:tcW w:w="2400" w:type="dxa"/>
          </w:tcPr>
          <w:p>
            <w:r>
              <w:rPr>
                <w:t/>
              </w:rPr>
            </w:r>
          </w:p>
          <w:tcPr>
            <w:hMerge/>
          </w:tcPr>
        </w:tc>
        <w:tc>
          <w:tcPr>
            <w:tcW w:w="1800" w:type="dxa"/>
          </w:tcPr>
          <w:p>
            <w:r>
              <w:rPr>
                <w:t/>
              </w:rPr>
            </w:r>
          </w:p>
          <w:tcPr>
            <w:hMerge/>
          </w:tcPr>
        </w:tc>
        <w:tc>
          <w:tcPr>
            <w:tcW w:w="2400" w:type="dxa"/>
          </w:tcPr>
          <w:p>
            <w:r>
              <w:rPr>
                <w:t/>
              </w:rPr>
            </w:r>
          </w:p>
          <w:tcPr>
            <w:hMerge/>
          </w:tcPr>
        </w:tc>
      </w:tr>
      <w:tr>
        <w:tc>
          <w:tcPr>
            <w:tcW w:w="3600" w:type="dxa"/>
          </w:tcPr>
          <w:p>
            <w:r>
              <w:rPr>
                <w:b/>
                <w:t>Risk Category</w:t>
              </w:rPr>
            </w:r>
          </w:p>
        </w:tc>
        <w:tc>
          <w:tcPr>
            <w:tcW w:w="2400" w:type="dxa"/>
          </w:tcPr>
          <w:p>
            <w:r>
              <w:rPr>
                <w:b/>
                <w:t>Category Weights</w:t>
              </w:rPr>
            </w:r>
          </w:p>
        </w:tc>
        <w:tc>
          <w:tcPr>
            <w:tcW w:w="1800" w:type="dxa"/>
          </w:tcPr>
          <w:p>
            <w:r>
              <w:rPr>
                <w:b/>
                <w:t>Risk Score</w:t>
              </w:rPr>
            </w:r>
          </w:p>
        </w:tc>
        <w:tc>
          <w:tcPr>
            <w:tcW w:w="2400" w:type="dxa"/>
          </w:tcPr>
          <w:p>
            <w:r>
              <w:rPr>
                <w:b/>
                <w:t>Weighted Score</w:t>
              </w:rPr>
            </w:r>
          </w:p>
        </w:tc>
      </w:tr>
      <w:tr>
        <w:tc>
          <w:tcPr>
            <w:tcW w:w="3600" w:type="dxa"/>
          </w:tcPr>
          <w:p>
            <w:r>
              <w:t>Risk Factor 1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3.00</w:t>
            </w:r>
          </w:p>
          <w:tcPr>
            <w:tcW w:w="1800" w:type="dxa"/>
            <w:shd w:val="solid" w:color="Red" w:fill="ABCDEF"/>
          </w:tcPr>
        </w:tc>
        <w:tc>
          <w:tcPr>
            <w:tcW w:w="2400" w:type="dxa"/>
          </w:tcPr>
          <w:p>
            <w:r>
              <w:t>3.00</w:t>
            </w:r>
          </w:p>
        </w:tc>
      </w:tr>
      <w:tr>
        <w:tc>
          <w:tcPr>
            <w:tcW w:w="3600" w:type="dxa"/>
          </w:tcPr>
          <w:p>
            <w:r>
              <w:t>Risk Factor 9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3.00</w:t>
            </w:r>
          </w:p>
          <w:tcPr>
            <w:tcW w:w="1800" w:type="dxa"/>
            <w:shd w:val="solid" w:color="Red" w:fill="ABCDEF"/>
          </w:tcPr>
        </w:tc>
        <w:tc>
          <w:tcPr>
            <w:tcW w:w="2400" w:type="dxa"/>
          </w:tcPr>
          <w:p>
            <w:r>
              <w:t>3.00</w:t>
            </w:r>
          </w:p>
        </w:tc>
      </w:tr>
      <w:tr>
        <w:tc>
          <w:tcPr>
            <w:tcW w:w="3600" w:type="dxa"/>
          </w:tcPr>
          <w:p>
            <w:r>
              <w:t>Risk Factor 2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3.00</w:t>
            </w:r>
          </w:p>
          <w:tcPr>
            <w:tcW w:w="1800" w:type="dxa"/>
            <w:shd w:val="solid" w:color="Red" w:fill="ABCDEF"/>
          </w:tcPr>
        </w:tc>
        <w:tc>
          <w:tcPr>
            <w:tcW w:w="2400" w:type="dxa"/>
          </w:tcPr>
          <w:p>
            <w:r>
              <w:t>3.00</w:t>
            </w:r>
          </w:p>
        </w:tc>
      </w:tr>
      <w:tr>
        <w:tc>
          <w:tcPr>
            <w:tcW w:w="3600" w:type="dxa"/>
          </w:tcPr>
          <w:p>
            <w:r>
              <w:t>Risk Factor 10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2.00</w:t>
            </w:r>
          </w:p>
          <w:tcPr>
            <w:tcW w:w="1800" w:type="dxa"/>
            <w:shd w:val="solid" w:color="DarkOrange" w:fill="ABCDEF"/>
          </w:tcPr>
        </w:tc>
        <w:tc>
          <w:tcPr>
            <w:tcW w:w="2400" w:type="dxa"/>
          </w:tcPr>
          <w:p>
            <w:r>
              <w:t>2.00</w:t>
            </w:r>
          </w:p>
        </w:tc>
      </w:tr>
      <w:tr>
        <w:tc>
          <w:tcPr>
            <w:tcW w:w="3600" w:type="dxa"/>
          </w:tcPr>
          <w:p>
            <w:r>
              <w:t>Risk Factor 3 for Customer 2</w:t>
            </w:r>
          </w:p>
        </w:tc>
        <w:tc>
          <w:tcPr>
            <w:tcW w:w="2400" w:type="dxa"/>
          </w:tcPr>
          <w:p>
            <w:r>
              <w:t>0.00</w:t>
            </w:r>
          </w:p>
        </w:tc>
        <w:tc>
          <w:p>
            <w:r>
              <w:t>1.00</w:t>
            </w:r>
          </w:p>
          <w:tcPr>
            <w:tcW w:w="1800" w:type="dxa"/>
            <w:shd w:val="solid" w:color="Green" w:fill="ABCDEF"/>
          </w:tcPr>
        </w:tc>
        <w:tc>
          <w:tcPr>
            <w:tcW w:w="2400" w:type="dxa"/>
          </w:tcPr>
          <w:p>
            <w:r>
              <w:t>0.00</w:t>
            </w:r>
          </w:p>
        </w:tc>
      </w:tr>
      <w:tr>
        <w:tc>
          <w:tcPr>
            <w:tcW w:w="3600" w:type="dxa"/>
          </w:tcPr>
          <w:p>
            <w:r>
              <w:t>Risk Factor 4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1.00</w:t>
            </w:r>
          </w:p>
          <w:tcPr>
            <w:tcW w:w="1800" w:type="dxa"/>
            <w:shd w:val="solid" w:color="Green" w:fill="ABCDEF"/>
          </w:tcPr>
        </w:tc>
        <w:tc>
          <w:tcPr>
            <w:tcW w:w="2400" w:type="dxa"/>
          </w:tcPr>
          <w:p>
            <w:r>
              <w:t>1.00</w:t>
            </w:r>
          </w:p>
        </w:tc>
      </w:tr>
      <w:tr>
        <w:tc>
          <w:tcPr>
            <w:tcW w:w="3600" w:type="dxa"/>
          </w:tcPr>
          <w:p>
            <w:r>
              <w:t>Risk Factor 5 for Customer 2</w:t>
            </w:r>
          </w:p>
        </w:tc>
        <w:tc>
          <w:tcPr>
            <w:tcW w:w="2400" w:type="dxa"/>
          </w:tcPr>
          <w:p>
            <w:r>
              <w:t>100.00</w:t>
            </w:r>
          </w:p>
        </w:tc>
        <w:tc>
          <w:p>
            <w:r>
              <w:t>2.00</w:t>
            </w:r>
          </w:p>
          <w:tcPr>
            <w:tcW w:w="1800" w:type="dxa"/>
            <w:shd w:val="solid" w:color="DarkOrange" w:fill="ABCDEF"/>
          </w:tcPr>
        </w:tc>
        <w:tc>
          <w:tcPr>
            <w:tcW w:w="2400" w:type="dxa"/>
          </w:tcPr>
          <w:p>
            <w:r>
              <w:t>2.00</w:t>
            </w:r>
          </w:p>
        </w:tc>
      </w:tr>
      <w:tr>
        <w:tc>
          <w:tcPr>
            <w:tcW w:w="3600" w:type="dxa"/>
          </w:tcPr>
          <w:p>
            <w:r>
              <w:t>Aggregate Inherent Risk Assessment Rating</w:t>
            </w:r>
          </w:p>
          <w:tcPr>
            <w:hMerge w:val="restart"/>
          </w:tcPr>
        </w:tc>
        <w:tc>
          <w:tcPr>
            <w:tcW w:w="2400" w:type="dxa"/>
          </w:tcPr>
          <w:p>
            <w:r>
              <w:t>0</w:t>
            </w:r>
          </w:p>
          <w:tcPr>
            <w:hMerge/>
          </w:tcPr>
        </w:tc>
        <w:tc>
          <w:p>
            <w:r>
              <w:t>0</w:t>
            </w:r>
          </w:p>
          <w:tcPr>
            <w:tcW w:w="1800" w:type="dxa"/>
            <w:shd w:val="solid" w:color="Red" w:fill="ABCDEF"/>
          </w:tcPr>
          <w:tcPr>
            <w:hMerge/>
          </w:tcPr>
        </w:tc>
        <w:tc>
          <w:p>
            <w:r>
              <w:t>14.00</w:t>
            </w:r>
          </w:p>
          <w:tcPr>
            <w:tcW w:w="1800" w:type="dxa"/>
            <w:shd w:val="solid" w:color="Red" w:fill="ABCDEF"/>
          </w:tcPr>
        </w:tc>
      </w:tr>
    </w:tbl>
    <w:p w:rsidRPr="006B14D7" w:rsidR="001D1127" w:rsidP="001D1127" w:rsidRDefault="001D1127" w14:paraId="23421A60" w14:textId="77777777">
      <w:pPr>
        <w:rPr>
          <w:lang w:val="en-US"/>
        </w:rPr>
      </w:pPr>
      <w:r>
        <w:rPr>
          <w:lang w:val="en-US"/>
        </w:rPr>
        <w:t/>
      </w:r>
    </w:p>
    <w:tbl>
      <w:tblPr>
        <w:tblBorders>
          <w:top w:val="single" w:sz="15"/>
          <w:bottom w:val="single" w:sz="15"/>
          <w:left w:val="single" w:sz="15"/>
          <w:right w:val="single" w:sz="15"/>
          <w:insideH w:val="single" w:sz="10"/>
          <w:insideV w:val="single" w:sz="10"/>
        </w:tblBorders>
      </w:tblPr>
      <w:tr>
        <w:tc>
          <w:tcPr>
            <w:tcW w:w="3600" w:type="dxa"/>
          </w:tcPr>
          <w:p>
            <w:r>
              <w:rPr>
                <w:b/>
                <w:t>Residual Risk Rating</w:t>
              </w:rPr>
            </w:r>
          </w:p>
          <w:tcPr>
            <w:hMerge w:val="restart"/>
            <w:vAlign w:val="center"/>
            <w:shd w:val="solid" w:color="black" w:fill="ABCDEF"/>
          </w:tcPr>
        </w:tc>
        <w:tc>
          <w:tcPr>
            <w:tcW w:w="2400" w:type="dxa"/>
          </w:tcPr>
          <w:p>
            <w:r>
              <w:rPr>
                <w:t/>
              </w:rPr>
            </w:r>
          </w:p>
          <w:tcPr>
            <w:hMerge/>
          </w:tcPr>
        </w:tc>
      </w:tr>
      <w:tr>
        <w:tc>
          <w:tcPr>
            <w:tcW w:w="7800" w:type="dxa"/>
          </w:tcPr>
          <w:p>
            <w:r>
              <w:t>Aggregate Control Assessment Rating</w:t>
            </w:r>
          </w:p>
        </w:tc>
        <w:tc>
          <w:p>
            <w:r>
              <w:t>5.00</w:t>
            </w:r>
          </w:p>
          <w:tcPr>
            <w:tcW w:w="2400" w:type="dxa"/>
            <w:shd w:val="solid" w:color="Red" w:fill="ABCDEF"/>
          </w:tcPr>
        </w:tc>
      </w:tr>
      <w:tr>
        <w:tc>
          <w:tcPr>
            <w:tcW w:w="7800" w:type="dxa"/>
          </w:tcPr>
          <w:p>
            <w:r>
              <w:t>Aggregate Inherent Risk Assessment Rating</w:t>
            </w:r>
          </w:p>
        </w:tc>
        <w:tc>
          <w:p>
            <w:r>
              <w:t>14.00</w:t>
            </w:r>
          </w:p>
          <w:tcPr>
            <w:tcW w:w="2400" w:type="dxa"/>
            <w:shd w:val="solid" w:color="Red" w:fill="ABCDEF"/>
          </w:tcPr>
        </w:tc>
      </w:tr>
      <w:tr>
        <w:tc>
          <w:tcPr>
            <w:tcW w:w="7800" w:type="dxa"/>
          </w:tcPr>
          <w:p>
            <w:r>
              <w:t>Residual AML Risk Rating</w:t>
            </w:r>
          </w:p>
        </w:tc>
        <w:tc>
          <w:p>
            <w:r>
              <w:t>High</w:t>
            </w:r>
          </w:p>
          <w:tcPr>
            <w:tcW w:w="2400" w:type="dxa"/>
            <w:shd w:val="solid" w:color="Red" w:fill="ABCDEF"/>
          </w:tcPr>
        </w:tc>
      </w:tr>
    </w:tbl>
    <w:p w:rsidRPr="006B14D7" w:rsidR="006B14D7" w:rsidP="006B14D7" w:rsidRDefault="006B14D7" w14:paraId="0B707FEE" w14:textId="753A414D">
      <w:pPr>
        <w:rPr>
          <w:lang w:val="en-US"/>
        </w:rPr>
      </w:pPr>
    </w:p>
    <w:p w:rsidR="001B202C" w:rsidP="001B202C" w:rsidRDefault="001B202C" w14:paraId="1B7D044D" w14:textId="532D790E">
      <w:pPr>
        <w:pStyle w:val="Heading1"/>
      </w:pPr>
      <w:bookmarkStart w:name="_Toc131022704" w:id="6"/>
      <w:r>
        <w:t>Inherent Risk Assessment</w:t>
      </w:r>
      <w:r w:rsidR="00F3504F">
        <w:t xml:space="preserve"> – Retail Banking Group</w:t>
      </w:r>
      <w:r w:rsidR="005C75A4">
        <w:t xml:space="preserve"> (RBG)</w:t>
      </w:r>
      <w:bookmarkEnd w:id="6"/>
    </w:p>
    <w:p w:rsidR="0018151E" w:rsidP="0018151E" w:rsidRDefault="0018151E" w14:paraId="77464A2E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60494E1B" w14:textId="0842C100">
      <w:pPr>
        <w:rPr>
          <w:lang w:val="en-US"/>
        </w:rPr>
      </w:pPr>
      <w:r>
        <w:rPr>
          <w:lang w:val="en-US"/>
        </w:rPr>
        <w:t>Commentary:</w:t>
      </w:r>
    </w:p>
    <w:p w:rsidRPr="0018151E" w:rsidR="0018151E" w:rsidP="0018151E" w:rsidRDefault="00BC5F37" w14:paraId="14AAB034" w14:textId="7744A350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05" w:id="7"/>
      <w:r w:rsidRPr="0018151E">
        <w:rPr>
          <w:rFonts w:asciiTheme="minorHAnsi" w:hAnsiTheme="minorHAnsi" w:cstheme="minorHAnsi"/>
          <w:sz w:val="24"/>
          <w:szCs w:val="24"/>
        </w:rPr>
        <w:t>Mass Market</w:t>
      </w:r>
      <w:bookmarkEnd w:id="7"/>
    </w:p>
    <w:p w:rsidR="00242FE7" w:rsidP="00242FE7" w:rsidRDefault="00BC5F37" w14:paraId="61654FB4" w14:textId="29683331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06" w:id="8"/>
      <w:r>
        <w:rPr>
          <w:rFonts w:eastAsiaTheme="minorHAnsi"/>
          <w:sz w:val="22"/>
          <w:szCs w:val="22"/>
        </w:rPr>
        <w:t>Customer Risk</w:t>
      </w:r>
      <w:bookmarkEnd w:id="8"/>
    </w:p>
    <w:p w:rsidR="0018151E" w:rsidP="0018151E" w:rsidRDefault="0018151E" w14:paraId="217BFF06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74B366CF" w14:textId="50079313">
      <w:pPr>
        <w:rPr>
          <w:lang w:val="en-US"/>
        </w:rPr>
      </w:pPr>
      <w:r>
        <w:rPr>
          <w:lang w:val="en-US"/>
        </w:rPr>
        <w:t>Commentary:</w:t>
      </w:r>
    </w:p>
    <w:p w:rsidR="00242FE7" w:rsidP="00242FE7" w:rsidRDefault="00242FE7" w14:paraId="6DE7C0DE" w14:textId="201ADA1F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07" w:id="9"/>
      <w:r>
        <w:rPr>
          <w:rFonts w:eastAsiaTheme="minorHAnsi"/>
          <w:sz w:val="22"/>
          <w:szCs w:val="22"/>
        </w:rPr>
        <w:t>Products &amp; Services Risk</w:t>
      </w:r>
      <w:bookmarkEnd w:id="9"/>
    </w:p>
    <w:p w:rsidR="0018151E" w:rsidP="0018151E" w:rsidRDefault="0018151E" w14:paraId="0E111084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17F0DB12" w14:textId="7E6C4961">
      <w:pPr>
        <w:rPr>
          <w:lang w:val="en-US"/>
        </w:rPr>
      </w:pPr>
      <w:r>
        <w:rPr>
          <w:lang w:val="en-US"/>
        </w:rPr>
        <w:t>Commentary:</w:t>
      </w:r>
    </w:p>
    <w:p w:rsidR="00242FE7" w:rsidP="00242FE7" w:rsidRDefault="00242FE7" w14:paraId="7CC43133" w14:textId="226DA080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08" w:id="10"/>
      <w:r>
        <w:rPr>
          <w:rFonts w:eastAsiaTheme="minorHAnsi"/>
          <w:sz w:val="22"/>
          <w:szCs w:val="22"/>
        </w:rPr>
        <w:t>Geography Risk</w:t>
      </w:r>
      <w:bookmarkEnd w:id="10"/>
    </w:p>
    <w:p w:rsidR="0018151E" w:rsidP="0018151E" w:rsidRDefault="0018151E" w14:paraId="49CAE5F8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3772CA62" w14:textId="2EB609B9">
      <w:pPr>
        <w:rPr>
          <w:lang w:val="en-US"/>
        </w:rPr>
      </w:pPr>
      <w:r>
        <w:rPr>
          <w:lang w:val="en-US"/>
        </w:rPr>
        <w:t>Commentary:</w:t>
      </w:r>
    </w:p>
    <w:p w:rsidR="00242FE7" w:rsidP="00242FE7" w:rsidRDefault="00242FE7" w14:paraId="5BB14D4A" w14:textId="08BC4548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09" w:id="11"/>
      <w:r>
        <w:rPr>
          <w:rFonts w:eastAsiaTheme="minorHAnsi"/>
          <w:sz w:val="22"/>
          <w:szCs w:val="22"/>
        </w:rPr>
        <w:t>Channel Risk</w:t>
      </w:r>
      <w:bookmarkEnd w:id="11"/>
    </w:p>
    <w:p w:rsidR="0018151E" w:rsidP="0018151E" w:rsidRDefault="0018151E" w14:paraId="0F87E763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2F273E25" w14:textId="76B903B7">
      <w:pPr>
        <w:rPr>
          <w:lang w:val="en-US"/>
        </w:rPr>
      </w:pPr>
      <w:r>
        <w:rPr>
          <w:lang w:val="en-US"/>
        </w:rPr>
        <w:t>Commentary:</w:t>
      </w:r>
    </w:p>
    <w:p w:rsidR="009B47A8" w:rsidP="009B47A8" w:rsidRDefault="007442D2" w14:paraId="2F2B40F9" w14:textId="7D52B3BE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10" w:id="12"/>
      <w:r>
        <w:rPr>
          <w:rFonts w:eastAsiaTheme="minorHAnsi"/>
          <w:sz w:val="22"/>
          <w:szCs w:val="22"/>
        </w:rPr>
        <w:t>Qualitative</w:t>
      </w:r>
      <w:r w:rsidR="00242FE7">
        <w:rPr>
          <w:rFonts w:eastAsiaTheme="minorHAnsi"/>
          <w:sz w:val="22"/>
          <w:szCs w:val="22"/>
        </w:rPr>
        <w:t xml:space="preserve"> Risk</w:t>
      </w:r>
      <w:r>
        <w:rPr>
          <w:rFonts w:eastAsiaTheme="minorHAnsi"/>
          <w:sz w:val="22"/>
          <w:szCs w:val="22"/>
        </w:rPr>
        <w:t xml:space="preserve"> Factors</w:t>
      </w:r>
      <w:bookmarkEnd w:id="12"/>
    </w:p>
    <w:p w:rsidR="0018151E" w:rsidP="0018151E" w:rsidRDefault="0018151E" w14:paraId="0C81E69C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045002A3" w14:textId="43530392">
      <w:pPr>
        <w:rPr>
          <w:lang w:val="en-US"/>
        </w:rPr>
      </w:pPr>
      <w:r>
        <w:rPr>
          <w:lang w:val="en-US"/>
        </w:rPr>
        <w:t>Commentary:</w:t>
      </w:r>
    </w:p>
    <w:p w:rsidRPr="0018151E" w:rsidR="00732520" w:rsidP="00732520" w:rsidRDefault="007442D2" w14:paraId="24F10880" w14:textId="038B2C0F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11" w:id="13"/>
      <w:r w:rsidRPr="0018151E">
        <w:rPr>
          <w:rFonts w:asciiTheme="minorHAnsi" w:hAnsiTheme="minorHAnsi" w:cstheme="minorHAnsi"/>
          <w:sz w:val="24"/>
          <w:szCs w:val="24"/>
        </w:rPr>
        <w:t>Private Banking</w:t>
      </w:r>
      <w:bookmarkEnd w:id="13"/>
    </w:p>
    <w:p w:rsidR="0018151E" w:rsidP="0018151E" w:rsidRDefault="0018151E" w14:paraId="312C517D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12" w:id="14"/>
      <w:r>
        <w:rPr>
          <w:rFonts w:eastAsiaTheme="minorHAnsi"/>
          <w:sz w:val="22"/>
          <w:szCs w:val="22"/>
        </w:rPr>
        <w:t>Customer Risk</w:t>
      </w:r>
      <w:bookmarkEnd w:id="14"/>
    </w:p>
    <w:p w:rsidR="0018151E" w:rsidP="0018151E" w:rsidRDefault="0018151E" w14:paraId="0C3EF91D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66E772B3" w14:textId="77777777">
      <w:pPr>
        <w:rPr>
          <w:lang w:val="en-US"/>
        </w:rPr>
      </w:pPr>
      <w:r>
        <w:rPr>
          <w:lang w:val="en-US"/>
        </w:rPr>
        <w:t>Commentary:</w:t>
      </w:r>
    </w:p>
    <w:p w:rsidR="0018151E" w:rsidP="0018151E" w:rsidRDefault="0018151E" w14:paraId="58281A76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13" w:id="15"/>
      <w:r>
        <w:rPr>
          <w:rFonts w:eastAsiaTheme="minorHAnsi"/>
          <w:sz w:val="22"/>
          <w:szCs w:val="22"/>
        </w:rPr>
        <w:lastRenderedPageBreak/>
        <w:t>Products &amp; Services Risk</w:t>
      </w:r>
      <w:bookmarkEnd w:id="15"/>
    </w:p>
    <w:p w:rsidR="0018151E" w:rsidP="0018151E" w:rsidRDefault="0018151E" w14:paraId="158C0E1E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390641EE" w14:textId="77777777">
      <w:pPr>
        <w:rPr>
          <w:lang w:val="en-US"/>
        </w:rPr>
      </w:pPr>
      <w:r>
        <w:rPr>
          <w:lang w:val="en-US"/>
        </w:rPr>
        <w:t>Commentary:</w:t>
      </w:r>
    </w:p>
    <w:p w:rsidR="0018151E" w:rsidP="0018151E" w:rsidRDefault="0018151E" w14:paraId="401C27AB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14" w:id="16"/>
      <w:r>
        <w:rPr>
          <w:rFonts w:eastAsiaTheme="minorHAnsi"/>
          <w:sz w:val="22"/>
          <w:szCs w:val="22"/>
        </w:rPr>
        <w:t>Geography Risk</w:t>
      </w:r>
      <w:bookmarkEnd w:id="16"/>
    </w:p>
    <w:p w:rsidR="0018151E" w:rsidP="0018151E" w:rsidRDefault="0018151E" w14:paraId="132AADA8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6754B409" w14:textId="77777777">
      <w:pPr>
        <w:rPr>
          <w:lang w:val="en-US"/>
        </w:rPr>
      </w:pPr>
      <w:r>
        <w:rPr>
          <w:lang w:val="en-US"/>
        </w:rPr>
        <w:t>Commentary:</w:t>
      </w:r>
    </w:p>
    <w:p w:rsidR="0018151E" w:rsidP="0018151E" w:rsidRDefault="0018151E" w14:paraId="378BAB57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15" w:id="17"/>
      <w:r>
        <w:rPr>
          <w:rFonts w:eastAsiaTheme="minorHAnsi"/>
          <w:sz w:val="22"/>
          <w:szCs w:val="22"/>
        </w:rPr>
        <w:t>Channel Risk</w:t>
      </w:r>
      <w:bookmarkEnd w:id="17"/>
    </w:p>
    <w:p w:rsidR="0018151E" w:rsidP="0018151E" w:rsidRDefault="0018151E" w14:paraId="0438FBEE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8151E" w:rsidP="0018151E" w:rsidRDefault="0018151E" w14:paraId="19258C57" w14:textId="77777777">
      <w:pPr>
        <w:rPr>
          <w:lang w:val="en-US"/>
        </w:rPr>
      </w:pPr>
      <w:r>
        <w:rPr>
          <w:lang w:val="en-US"/>
        </w:rPr>
        <w:t>Commentary:</w:t>
      </w:r>
    </w:p>
    <w:p w:rsidR="0018151E" w:rsidP="0018151E" w:rsidRDefault="0018151E" w14:paraId="5085A5E5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16" w:id="18"/>
      <w:r>
        <w:rPr>
          <w:rFonts w:eastAsiaTheme="minorHAnsi"/>
          <w:sz w:val="22"/>
          <w:szCs w:val="22"/>
        </w:rPr>
        <w:t>Qualitative Risk Factors</w:t>
      </w:r>
      <w:bookmarkEnd w:id="18"/>
    </w:p>
    <w:p w:rsidR="0018151E" w:rsidP="0018151E" w:rsidRDefault="0018151E" w14:paraId="323A1630" w14:textId="77777777">
      <w:pPr>
        <w:rPr>
          <w:lang w:val="en-US"/>
        </w:rPr>
      </w:pPr>
      <w:r>
        <w:rPr>
          <w:lang w:val="en-US"/>
        </w:rPr>
        <w:t>Summary Table:</w:t>
      </w:r>
    </w:p>
    <w:p w:rsidR="0018151E" w:rsidP="0018151E" w:rsidRDefault="0018151E" w14:paraId="3F128B54" w14:textId="79AEF925">
      <w:pPr>
        <w:rPr>
          <w:lang w:val="en-US"/>
        </w:rPr>
      </w:pPr>
      <w:r>
        <w:rPr>
          <w:lang w:val="en-US"/>
        </w:rPr>
        <w:t>Commentary:</w:t>
      </w:r>
    </w:p>
    <w:p w:rsidRPr="005C75A4" w:rsidR="0018151E" w:rsidP="0018151E" w:rsidRDefault="0018151E" w14:paraId="737C86FE" w14:textId="02307CD1">
      <w:pPr>
        <w:pStyle w:val="Heading1"/>
      </w:pPr>
      <w:bookmarkStart w:name="_Toc131022717" w:id="19"/>
      <w:r>
        <w:t>Inherent Risk Assessment – Corporate Banking Group</w:t>
      </w:r>
      <w:r w:rsidR="005C75A4">
        <w:t xml:space="preserve"> (CBG)</w:t>
      </w:r>
      <w:bookmarkEnd w:id="19"/>
    </w:p>
    <w:p w:rsidR="00990DF0" w:rsidP="00990DF0" w:rsidRDefault="005C75A4" w14:paraId="4C60D279" w14:textId="2313327E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18" w:id="20"/>
      <w:r w:rsidRPr="005C75A4">
        <w:rPr>
          <w:rFonts w:asciiTheme="minorHAnsi" w:hAnsiTheme="minorHAnsi" w:cstheme="minorHAnsi"/>
          <w:sz w:val="24"/>
          <w:szCs w:val="24"/>
        </w:rPr>
        <w:t>Wholesale Banking</w:t>
      </w:r>
      <w:bookmarkEnd w:id="20"/>
    </w:p>
    <w:p w:rsidR="005C75A4" w:rsidP="005C75A4" w:rsidRDefault="005C75A4" w14:paraId="6DAB31E9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19" w:id="21"/>
      <w:r>
        <w:rPr>
          <w:rFonts w:eastAsiaTheme="minorHAnsi"/>
          <w:sz w:val="22"/>
          <w:szCs w:val="22"/>
        </w:rPr>
        <w:t>Customer Risk</w:t>
      </w:r>
      <w:bookmarkEnd w:id="21"/>
    </w:p>
    <w:p w:rsidR="005C75A4" w:rsidP="005C75A4" w:rsidRDefault="005C75A4" w14:paraId="5BA69B13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5C75A4" w:rsidP="005C75A4" w:rsidRDefault="005C75A4" w14:paraId="2198033E" w14:textId="77777777">
      <w:pPr>
        <w:rPr>
          <w:lang w:val="en-US"/>
        </w:rPr>
      </w:pPr>
      <w:r>
        <w:rPr>
          <w:lang w:val="en-US"/>
        </w:rPr>
        <w:t>Commentary:</w:t>
      </w:r>
    </w:p>
    <w:p w:rsidR="005C75A4" w:rsidP="005C75A4" w:rsidRDefault="005C75A4" w14:paraId="5FC1251B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20" w:id="22"/>
      <w:r>
        <w:rPr>
          <w:rFonts w:eastAsiaTheme="minorHAnsi"/>
          <w:sz w:val="22"/>
          <w:szCs w:val="22"/>
        </w:rPr>
        <w:t>Products &amp; Services Risk</w:t>
      </w:r>
      <w:bookmarkEnd w:id="22"/>
    </w:p>
    <w:p w:rsidR="005C75A4" w:rsidP="005C75A4" w:rsidRDefault="005C75A4" w14:paraId="0FB976DF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5C75A4" w:rsidP="005C75A4" w:rsidRDefault="005C75A4" w14:paraId="5911F85D" w14:textId="77777777">
      <w:pPr>
        <w:rPr>
          <w:lang w:val="en-US"/>
        </w:rPr>
      </w:pPr>
      <w:r>
        <w:rPr>
          <w:lang w:val="en-US"/>
        </w:rPr>
        <w:t>Commentary:</w:t>
      </w:r>
    </w:p>
    <w:p w:rsidR="005C75A4" w:rsidP="005C75A4" w:rsidRDefault="005C75A4" w14:paraId="21720032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21" w:id="23"/>
      <w:r>
        <w:rPr>
          <w:rFonts w:eastAsiaTheme="minorHAnsi"/>
          <w:sz w:val="22"/>
          <w:szCs w:val="22"/>
        </w:rPr>
        <w:t>Geography Risk</w:t>
      </w:r>
      <w:bookmarkEnd w:id="23"/>
    </w:p>
    <w:p w:rsidR="005C75A4" w:rsidP="005C75A4" w:rsidRDefault="005C75A4" w14:paraId="2D7E5409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5C75A4" w:rsidP="005C75A4" w:rsidRDefault="005C75A4" w14:paraId="626A96E3" w14:textId="77777777">
      <w:pPr>
        <w:rPr>
          <w:lang w:val="en-US"/>
        </w:rPr>
      </w:pPr>
      <w:r>
        <w:rPr>
          <w:lang w:val="en-US"/>
        </w:rPr>
        <w:t>Commentary:</w:t>
      </w:r>
    </w:p>
    <w:p w:rsidR="005C75A4" w:rsidP="005C75A4" w:rsidRDefault="005C75A4" w14:paraId="2E2B7675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22" w:id="24"/>
      <w:r>
        <w:rPr>
          <w:rFonts w:eastAsiaTheme="minorHAnsi"/>
          <w:sz w:val="22"/>
          <w:szCs w:val="22"/>
        </w:rPr>
        <w:t>Channel Risk</w:t>
      </w:r>
      <w:bookmarkEnd w:id="24"/>
    </w:p>
    <w:p w:rsidR="005C75A4" w:rsidP="005C75A4" w:rsidRDefault="005C75A4" w14:paraId="546C20DF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5C75A4" w:rsidP="005C75A4" w:rsidRDefault="005C75A4" w14:paraId="5335F7F5" w14:textId="77777777">
      <w:pPr>
        <w:rPr>
          <w:lang w:val="en-US"/>
        </w:rPr>
      </w:pPr>
      <w:r>
        <w:rPr>
          <w:lang w:val="en-US"/>
        </w:rPr>
        <w:t>Commentary:</w:t>
      </w:r>
    </w:p>
    <w:p w:rsidR="005C75A4" w:rsidP="005C75A4" w:rsidRDefault="005C75A4" w14:paraId="58764FE3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23" w:id="25"/>
      <w:r>
        <w:rPr>
          <w:rFonts w:eastAsiaTheme="minorHAnsi"/>
          <w:sz w:val="22"/>
          <w:szCs w:val="22"/>
        </w:rPr>
        <w:t>Qualitative Risk Factors</w:t>
      </w:r>
      <w:bookmarkEnd w:id="25"/>
    </w:p>
    <w:p w:rsidR="005C75A4" w:rsidP="005C75A4" w:rsidRDefault="005C75A4" w14:paraId="4DE3A828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5C75A4" w:rsidR="005C75A4" w:rsidP="005C75A4" w:rsidRDefault="005C75A4" w14:paraId="454FFD61" w14:textId="6A60C7CB">
      <w:pPr>
        <w:rPr>
          <w:lang w:val="en-US"/>
        </w:rPr>
      </w:pPr>
      <w:r>
        <w:rPr>
          <w:lang w:val="en-US"/>
        </w:rPr>
        <w:t>Commentary:</w:t>
      </w:r>
    </w:p>
    <w:p w:rsidR="0068118D" w:rsidP="0068118D" w:rsidRDefault="0019110A" w14:paraId="72782345" w14:textId="2D0D853A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24" w:id="26"/>
      <w:r w:rsidRPr="0019110A">
        <w:rPr>
          <w:rFonts w:asciiTheme="minorHAnsi" w:hAnsiTheme="minorHAnsi" w:cstheme="minorHAnsi"/>
          <w:sz w:val="24"/>
          <w:szCs w:val="24"/>
        </w:rPr>
        <w:lastRenderedPageBreak/>
        <w:t>SME</w:t>
      </w:r>
      <w:bookmarkEnd w:id="26"/>
    </w:p>
    <w:p w:rsidR="0019110A" w:rsidP="0019110A" w:rsidRDefault="0019110A" w14:paraId="3202A4C0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25" w:id="27"/>
      <w:r>
        <w:rPr>
          <w:rFonts w:eastAsiaTheme="minorHAnsi"/>
          <w:sz w:val="22"/>
          <w:szCs w:val="22"/>
        </w:rPr>
        <w:t>Customer Risk</w:t>
      </w:r>
      <w:bookmarkEnd w:id="27"/>
    </w:p>
    <w:p w:rsidR="0019110A" w:rsidP="0019110A" w:rsidRDefault="0019110A" w14:paraId="2A771B77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9110A" w:rsidP="0019110A" w:rsidRDefault="0019110A" w14:paraId="3665632C" w14:textId="77777777">
      <w:pPr>
        <w:rPr>
          <w:lang w:val="en-US"/>
        </w:rPr>
      </w:pPr>
      <w:r>
        <w:rPr>
          <w:lang w:val="en-US"/>
        </w:rPr>
        <w:t>Commentary:</w:t>
      </w:r>
    </w:p>
    <w:p w:rsidR="0019110A" w:rsidP="0019110A" w:rsidRDefault="0019110A" w14:paraId="6A9A58A3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26" w:id="28"/>
      <w:r>
        <w:rPr>
          <w:rFonts w:eastAsiaTheme="minorHAnsi"/>
          <w:sz w:val="22"/>
          <w:szCs w:val="22"/>
        </w:rPr>
        <w:t>Products &amp; Services Risk</w:t>
      </w:r>
      <w:bookmarkEnd w:id="28"/>
    </w:p>
    <w:p w:rsidR="0019110A" w:rsidP="0019110A" w:rsidRDefault="0019110A" w14:paraId="3E475442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9110A" w:rsidP="0019110A" w:rsidRDefault="0019110A" w14:paraId="51784928" w14:textId="77777777">
      <w:pPr>
        <w:rPr>
          <w:lang w:val="en-US"/>
        </w:rPr>
      </w:pPr>
      <w:r>
        <w:rPr>
          <w:lang w:val="en-US"/>
        </w:rPr>
        <w:t>Commentary:</w:t>
      </w:r>
    </w:p>
    <w:p w:rsidR="0019110A" w:rsidP="0019110A" w:rsidRDefault="0019110A" w14:paraId="0E9B73ED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27" w:id="29"/>
      <w:r>
        <w:rPr>
          <w:rFonts w:eastAsiaTheme="minorHAnsi"/>
          <w:sz w:val="22"/>
          <w:szCs w:val="22"/>
        </w:rPr>
        <w:t>Geography Risk</w:t>
      </w:r>
      <w:bookmarkEnd w:id="29"/>
    </w:p>
    <w:p w:rsidR="0019110A" w:rsidP="0019110A" w:rsidRDefault="0019110A" w14:paraId="7CBB1041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9110A" w:rsidP="0019110A" w:rsidRDefault="0019110A" w14:paraId="2F6B808E" w14:textId="77777777">
      <w:pPr>
        <w:rPr>
          <w:lang w:val="en-US"/>
        </w:rPr>
      </w:pPr>
      <w:r>
        <w:rPr>
          <w:lang w:val="en-US"/>
        </w:rPr>
        <w:t>Commentary:</w:t>
      </w:r>
    </w:p>
    <w:p w:rsidR="0019110A" w:rsidP="0019110A" w:rsidRDefault="0019110A" w14:paraId="4A2F93A3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28" w:id="30"/>
      <w:r>
        <w:rPr>
          <w:rFonts w:eastAsiaTheme="minorHAnsi"/>
          <w:sz w:val="22"/>
          <w:szCs w:val="22"/>
        </w:rPr>
        <w:t>Channel Risk</w:t>
      </w:r>
      <w:bookmarkEnd w:id="30"/>
    </w:p>
    <w:p w:rsidR="0019110A" w:rsidP="0019110A" w:rsidRDefault="0019110A" w14:paraId="1E3FBC11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9110A" w:rsidP="0019110A" w:rsidRDefault="0019110A" w14:paraId="0E1EA894" w14:textId="77777777">
      <w:pPr>
        <w:rPr>
          <w:lang w:val="en-US"/>
        </w:rPr>
      </w:pPr>
      <w:r>
        <w:rPr>
          <w:lang w:val="en-US"/>
        </w:rPr>
        <w:t>Commentary:</w:t>
      </w:r>
    </w:p>
    <w:p w:rsidR="0019110A" w:rsidP="0019110A" w:rsidRDefault="0019110A" w14:paraId="4935E56B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29" w:id="31"/>
      <w:r>
        <w:rPr>
          <w:rFonts w:eastAsiaTheme="minorHAnsi"/>
          <w:sz w:val="22"/>
          <w:szCs w:val="22"/>
        </w:rPr>
        <w:t>Qualitative Risk Factors</w:t>
      </w:r>
      <w:bookmarkEnd w:id="31"/>
    </w:p>
    <w:p w:rsidR="0019110A" w:rsidP="0019110A" w:rsidRDefault="0019110A" w14:paraId="33AF27CB" w14:textId="77777777">
      <w:pPr>
        <w:rPr>
          <w:lang w:val="en-US"/>
        </w:rPr>
      </w:pPr>
      <w:r>
        <w:rPr>
          <w:lang w:val="en-US"/>
        </w:rPr>
        <w:t>Summary Table:</w:t>
      </w:r>
    </w:p>
    <w:p w:rsidR="0019110A" w:rsidP="0019110A" w:rsidRDefault="0019110A" w14:paraId="61965C21" w14:textId="77777777">
      <w:pPr>
        <w:rPr>
          <w:lang w:val="en-US"/>
        </w:rPr>
      </w:pPr>
      <w:r>
        <w:rPr>
          <w:lang w:val="en-US"/>
        </w:rPr>
        <w:t>Commentary:</w:t>
      </w:r>
    </w:p>
    <w:p w:rsidRPr="005C75A4" w:rsidR="0019110A" w:rsidP="0019110A" w:rsidRDefault="0019110A" w14:paraId="32161E4D" w14:textId="64D9A1C1">
      <w:pPr>
        <w:pStyle w:val="Heading1"/>
      </w:pPr>
      <w:bookmarkStart w:name="_Toc131022730" w:id="32"/>
      <w:r>
        <w:t>Inherent Risk Assessment – Treasury Banking Group (TBG)</w:t>
      </w:r>
      <w:bookmarkEnd w:id="32"/>
    </w:p>
    <w:p w:rsidR="0019110A" w:rsidP="0019110A" w:rsidRDefault="0019110A" w14:paraId="0B68B951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31" w:id="33"/>
      <w:r>
        <w:rPr>
          <w:rFonts w:eastAsiaTheme="minorHAnsi"/>
          <w:sz w:val="22"/>
          <w:szCs w:val="22"/>
        </w:rPr>
        <w:t>Customer Risk</w:t>
      </w:r>
      <w:bookmarkEnd w:id="33"/>
    </w:p>
    <w:p w:rsidR="0019110A" w:rsidP="0019110A" w:rsidRDefault="0019110A" w14:paraId="4B9A21DB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9110A" w:rsidP="0019110A" w:rsidRDefault="0019110A" w14:paraId="7311A8B2" w14:textId="77777777">
      <w:pPr>
        <w:rPr>
          <w:lang w:val="en-US"/>
        </w:rPr>
      </w:pPr>
      <w:r>
        <w:rPr>
          <w:lang w:val="en-US"/>
        </w:rPr>
        <w:t>Commentary:</w:t>
      </w:r>
    </w:p>
    <w:p w:rsidR="0019110A" w:rsidP="0019110A" w:rsidRDefault="0019110A" w14:paraId="0781A237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32" w:id="34"/>
      <w:r>
        <w:rPr>
          <w:rFonts w:eastAsiaTheme="minorHAnsi"/>
          <w:sz w:val="22"/>
          <w:szCs w:val="22"/>
        </w:rPr>
        <w:t>Products &amp; Services Risk</w:t>
      </w:r>
      <w:bookmarkEnd w:id="34"/>
    </w:p>
    <w:p w:rsidR="0019110A" w:rsidP="0019110A" w:rsidRDefault="0019110A" w14:paraId="1338BAAD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9110A" w:rsidP="0019110A" w:rsidRDefault="0019110A" w14:paraId="025E3626" w14:textId="77777777">
      <w:pPr>
        <w:rPr>
          <w:lang w:val="en-US"/>
        </w:rPr>
      </w:pPr>
      <w:r>
        <w:rPr>
          <w:lang w:val="en-US"/>
        </w:rPr>
        <w:t>Commentary:</w:t>
      </w:r>
    </w:p>
    <w:p w:rsidR="0019110A" w:rsidP="0019110A" w:rsidRDefault="0019110A" w14:paraId="7350053A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33" w:id="35"/>
      <w:r>
        <w:rPr>
          <w:rFonts w:eastAsiaTheme="minorHAnsi"/>
          <w:sz w:val="22"/>
          <w:szCs w:val="22"/>
        </w:rPr>
        <w:t>Geography Risk</w:t>
      </w:r>
      <w:bookmarkEnd w:id="35"/>
    </w:p>
    <w:p w:rsidR="0019110A" w:rsidP="0019110A" w:rsidRDefault="0019110A" w14:paraId="5FE56F77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9110A" w:rsidP="0019110A" w:rsidRDefault="0019110A" w14:paraId="7FF220A3" w14:textId="77777777">
      <w:pPr>
        <w:rPr>
          <w:lang w:val="en-US"/>
        </w:rPr>
      </w:pPr>
      <w:r>
        <w:rPr>
          <w:lang w:val="en-US"/>
        </w:rPr>
        <w:t>Commentary:</w:t>
      </w:r>
    </w:p>
    <w:p w:rsidR="0019110A" w:rsidP="0019110A" w:rsidRDefault="0019110A" w14:paraId="06DB0973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34" w:id="36"/>
      <w:r>
        <w:rPr>
          <w:rFonts w:eastAsiaTheme="minorHAnsi"/>
          <w:sz w:val="22"/>
          <w:szCs w:val="22"/>
        </w:rPr>
        <w:t>Channel Risk</w:t>
      </w:r>
      <w:bookmarkEnd w:id="36"/>
    </w:p>
    <w:p w:rsidR="0019110A" w:rsidP="0019110A" w:rsidRDefault="0019110A" w14:paraId="1C063A8D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19110A" w:rsidP="0019110A" w:rsidRDefault="0019110A" w14:paraId="3600E86C" w14:textId="77777777">
      <w:pPr>
        <w:rPr>
          <w:lang w:val="en-US"/>
        </w:rPr>
      </w:pPr>
      <w:r>
        <w:rPr>
          <w:lang w:val="en-US"/>
        </w:rPr>
        <w:t>Commentary:</w:t>
      </w:r>
    </w:p>
    <w:p w:rsidR="0019110A" w:rsidP="0019110A" w:rsidRDefault="0019110A" w14:paraId="5BE14FB9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35" w:id="37"/>
      <w:r>
        <w:rPr>
          <w:rFonts w:eastAsiaTheme="minorHAnsi"/>
          <w:sz w:val="22"/>
          <w:szCs w:val="22"/>
        </w:rPr>
        <w:lastRenderedPageBreak/>
        <w:t>Qualitative Risk Factors</w:t>
      </w:r>
      <w:bookmarkEnd w:id="37"/>
    </w:p>
    <w:p w:rsidR="0019110A" w:rsidP="0019110A" w:rsidRDefault="0019110A" w14:paraId="6DBC59E6" w14:textId="77777777">
      <w:pPr>
        <w:rPr>
          <w:lang w:val="en-US"/>
        </w:rPr>
      </w:pPr>
      <w:r>
        <w:rPr>
          <w:lang w:val="en-US"/>
        </w:rPr>
        <w:t>Summary Table:</w:t>
      </w:r>
    </w:p>
    <w:p w:rsidR="0019110A" w:rsidP="0019110A" w:rsidRDefault="0019110A" w14:paraId="73E2597A" w14:textId="17CE7A54">
      <w:pPr>
        <w:rPr>
          <w:lang w:val="en-US"/>
        </w:rPr>
      </w:pPr>
      <w:r>
        <w:rPr>
          <w:lang w:val="en-US"/>
        </w:rPr>
        <w:t>Commentary:</w:t>
      </w:r>
    </w:p>
    <w:p w:rsidR="00A33AA5" w:rsidP="0019110A" w:rsidRDefault="00A33AA5" w14:paraId="5C3447C3" w14:textId="77777777">
      <w:pPr>
        <w:rPr>
          <w:lang w:val="en-US"/>
        </w:rPr>
      </w:pPr>
    </w:p>
    <w:p w:rsidR="00A33AA5" w:rsidP="0019110A" w:rsidRDefault="00A33AA5" w14:paraId="30A5F5F5" w14:textId="77777777">
      <w:pPr>
        <w:rPr>
          <w:lang w:val="en-US"/>
        </w:rPr>
      </w:pPr>
    </w:p>
    <w:p w:rsidRPr="005C75A4" w:rsidR="00A33AA5" w:rsidP="0019110A" w:rsidRDefault="00A33AA5" w14:paraId="78FC50C7" w14:textId="77777777">
      <w:pPr>
        <w:rPr>
          <w:lang w:val="en-US"/>
        </w:rPr>
      </w:pPr>
    </w:p>
    <w:p w:rsidR="0077257C" w:rsidP="0077257C" w:rsidRDefault="0077257C" w14:paraId="0FFB24E2" w14:textId="6F43D559">
      <w:pPr>
        <w:pStyle w:val="Heading1"/>
      </w:pPr>
      <w:bookmarkStart w:name="_Toc131022736" w:id="38"/>
      <w:r>
        <w:t>Control Environment Assessment</w:t>
      </w:r>
      <w:bookmarkEnd w:id="38"/>
    </w:p>
    <w:p w:rsidR="00103429" w:rsidP="00103429" w:rsidRDefault="00103429" w14:paraId="22A4D76D" w14:textId="1A4A92CA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37" w:id="39"/>
      <w:r>
        <w:rPr>
          <w:rFonts w:asciiTheme="minorHAnsi" w:hAnsiTheme="minorHAnsi" w:cstheme="minorHAnsi"/>
          <w:sz w:val="22"/>
          <w:szCs w:val="22"/>
        </w:rPr>
        <w:t>Governance</w:t>
      </w:r>
      <w:r w:rsidR="0098138F">
        <w:rPr>
          <w:rFonts w:asciiTheme="minorHAnsi" w:hAnsiTheme="minorHAnsi" w:cstheme="minorHAnsi"/>
          <w:sz w:val="22"/>
          <w:szCs w:val="22"/>
        </w:rPr>
        <w:t xml:space="preserve"> and Risk</w:t>
      </w:r>
      <w:r w:rsidR="0085795A">
        <w:rPr>
          <w:rFonts w:asciiTheme="minorHAnsi" w:hAnsiTheme="minorHAnsi" w:cstheme="minorHAnsi"/>
          <w:sz w:val="22"/>
          <w:szCs w:val="22"/>
        </w:rPr>
        <w:t xml:space="preserve"> Management</w:t>
      </w:r>
      <w:bookmarkEnd w:id="39"/>
    </w:p>
    <w:p w:rsidR="0085795A" w:rsidP="0085795A" w:rsidRDefault="0085795A" w14:paraId="22CB5878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85795A" w:rsidR="0085795A" w:rsidP="0085795A" w:rsidRDefault="0085795A" w14:paraId="0175E47E" w14:textId="1FA881F2">
      <w:pPr>
        <w:rPr>
          <w:lang w:val="en-US"/>
        </w:rPr>
      </w:pPr>
      <w:r>
        <w:rPr>
          <w:lang w:val="en-US"/>
        </w:rPr>
        <w:t>Commentary:</w:t>
      </w:r>
    </w:p>
    <w:p w:rsidR="007A3587" w:rsidP="007A3587" w:rsidRDefault="007A3587" w14:paraId="7149B916" w14:textId="40253DD6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38" w:id="40"/>
      <w:r>
        <w:rPr>
          <w:rFonts w:asciiTheme="minorHAnsi" w:hAnsiTheme="minorHAnsi" w:cstheme="minorHAnsi"/>
          <w:sz w:val="22"/>
          <w:szCs w:val="22"/>
        </w:rPr>
        <w:t>Policies and Procedures</w:t>
      </w:r>
      <w:bookmarkEnd w:id="40"/>
    </w:p>
    <w:p w:rsidR="0085795A" w:rsidP="0085795A" w:rsidRDefault="0085795A" w14:paraId="7AF7796E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85795A" w:rsidR="0085795A" w:rsidP="0085795A" w:rsidRDefault="0085795A" w14:paraId="452D6E91" w14:textId="6557F7D4">
      <w:pPr>
        <w:rPr>
          <w:lang w:val="en-US"/>
        </w:rPr>
      </w:pPr>
      <w:r>
        <w:rPr>
          <w:lang w:val="en-US"/>
        </w:rPr>
        <w:t>Commentary:</w:t>
      </w:r>
    </w:p>
    <w:p w:rsidR="00A3188D" w:rsidP="00A3188D" w:rsidRDefault="0085795A" w14:paraId="05D22AFE" w14:textId="45D35CC0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39" w:id="41"/>
      <w:r>
        <w:rPr>
          <w:rFonts w:asciiTheme="minorHAnsi" w:hAnsiTheme="minorHAnsi" w:cstheme="minorHAnsi"/>
          <w:sz w:val="22"/>
          <w:szCs w:val="22"/>
        </w:rPr>
        <w:t>KYC/CDD/EDD</w:t>
      </w:r>
      <w:bookmarkEnd w:id="41"/>
    </w:p>
    <w:p w:rsidR="0085795A" w:rsidP="0085795A" w:rsidRDefault="0085795A" w14:paraId="72FE6C65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85795A" w:rsidR="0085795A" w:rsidP="0085795A" w:rsidRDefault="0085795A" w14:paraId="5CE25C5E" w14:textId="497FFD3A">
      <w:pPr>
        <w:rPr>
          <w:lang w:val="en-US"/>
        </w:rPr>
      </w:pPr>
      <w:r>
        <w:rPr>
          <w:lang w:val="en-US"/>
        </w:rPr>
        <w:t>Commentary:</w:t>
      </w:r>
    </w:p>
    <w:p w:rsidR="0059585B" w:rsidP="0059585B" w:rsidRDefault="0085795A" w14:paraId="1D7B0797" w14:textId="1D82B867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40" w:id="42"/>
      <w:r>
        <w:rPr>
          <w:rFonts w:asciiTheme="minorHAnsi" w:hAnsiTheme="minorHAnsi" w:cstheme="minorHAnsi"/>
          <w:sz w:val="22"/>
          <w:szCs w:val="22"/>
        </w:rPr>
        <w:t>Screening</w:t>
      </w:r>
      <w:bookmarkEnd w:id="42"/>
    </w:p>
    <w:p w:rsidR="0071687D" w:rsidP="0071687D" w:rsidRDefault="0071687D" w14:paraId="54535BC9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71687D" w:rsidR="0071687D" w:rsidP="0071687D" w:rsidRDefault="0071687D" w14:paraId="1DE0CE34" w14:textId="432B4AB5">
      <w:pPr>
        <w:rPr>
          <w:lang w:val="en-US"/>
        </w:rPr>
      </w:pPr>
      <w:r>
        <w:rPr>
          <w:lang w:val="en-US"/>
        </w:rPr>
        <w:t>Commentary:</w:t>
      </w:r>
    </w:p>
    <w:p w:rsidR="001D7015" w:rsidP="001D7015" w:rsidRDefault="006E728A" w14:paraId="278F8CC9" w14:textId="132F01E8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41" w:id="43"/>
      <w:r>
        <w:rPr>
          <w:rFonts w:asciiTheme="minorHAnsi" w:hAnsiTheme="minorHAnsi" w:cstheme="minorHAnsi"/>
          <w:sz w:val="22"/>
          <w:szCs w:val="22"/>
        </w:rPr>
        <w:t>Transaction Monitoring</w:t>
      </w:r>
      <w:bookmarkEnd w:id="43"/>
    </w:p>
    <w:p w:rsidR="0071687D" w:rsidP="0071687D" w:rsidRDefault="0071687D" w14:paraId="79A64B4D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71687D" w:rsidR="0071687D" w:rsidP="0071687D" w:rsidRDefault="0071687D" w14:paraId="4FD6AC8C" w14:textId="2700C3CF">
      <w:pPr>
        <w:rPr>
          <w:lang w:val="en-US"/>
        </w:rPr>
      </w:pPr>
      <w:r>
        <w:rPr>
          <w:lang w:val="en-US"/>
        </w:rPr>
        <w:t>Commentary:</w:t>
      </w:r>
    </w:p>
    <w:p w:rsidR="009D2901" w:rsidP="009D2901" w:rsidRDefault="006E728A" w14:paraId="27A01D60" w14:textId="155F96D3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42" w:id="44"/>
      <w:r>
        <w:rPr>
          <w:rFonts w:asciiTheme="minorHAnsi" w:hAnsiTheme="minorHAnsi" w:cstheme="minorHAnsi"/>
          <w:sz w:val="22"/>
          <w:szCs w:val="22"/>
        </w:rPr>
        <w:t>Compliance Assurance</w:t>
      </w:r>
      <w:r w:rsidR="00A74004">
        <w:rPr>
          <w:rFonts w:asciiTheme="minorHAnsi" w:hAnsiTheme="minorHAnsi" w:cstheme="minorHAnsi"/>
          <w:sz w:val="22"/>
          <w:szCs w:val="22"/>
        </w:rPr>
        <w:t xml:space="preserve"> &amp; Independent Testing</w:t>
      </w:r>
      <w:bookmarkEnd w:id="44"/>
    </w:p>
    <w:p w:rsidR="0071687D" w:rsidP="0071687D" w:rsidRDefault="0071687D" w14:paraId="7514BD54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71687D" w:rsidR="0071687D" w:rsidP="0071687D" w:rsidRDefault="0071687D" w14:paraId="28919BDA" w14:textId="4F0590C1">
      <w:pPr>
        <w:rPr>
          <w:lang w:val="en-US"/>
        </w:rPr>
      </w:pPr>
      <w:r>
        <w:rPr>
          <w:lang w:val="en-US"/>
        </w:rPr>
        <w:t>Commentary:</w:t>
      </w:r>
    </w:p>
    <w:p w:rsidR="007A677A" w:rsidP="007A677A" w:rsidRDefault="00A74004" w14:paraId="583F8AA1" w14:textId="0546EC70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43" w:id="45"/>
      <w:r>
        <w:rPr>
          <w:rFonts w:asciiTheme="minorHAnsi" w:hAnsiTheme="minorHAnsi" w:cstheme="minorHAnsi"/>
          <w:sz w:val="22"/>
          <w:szCs w:val="22"/>
        </w:rPr>
        <w:t>Reporting &amp; MIS</w:t>
      </w:r>
      <w:bookmarkEnd w:id="45"/>
    </w:p>
    <w:p w:rsidR="0071687D" w:rsidP="0071687D" w:rsidRDefault="0071687D" w14:paraId="248ADAC7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71687D" w:rsidR="0071687D" w:rsidP="0071687D" w:rsidRDefault="0071687D" w14:paraId="460763C2" w14:textId="70A0A82F">
      <w:pPr>
        <w:rPr>
          <w:lang w:val="en-US"/>
        </w:rPr>
      </w:pPr>
      <w:r>
        <w:rPr>
          <w:lang w:val="en-US"/>
        </w:rPr>
        <w:t>Commentary:</w:t>
      </w:r>
    </w:p>
    <w:p w:rsidR="00A74004" w:rsidP="00A74004" w:rsidRDefault="0071687D" w14:paraId="504EFF2C" w14:textId="594BBE89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44" w:id="46"/>
      <w:r>
        <w:rPr>
          <w:rFonts w:asciiTheme="minorHAnsi" w:hAnsiTheme="minorHAnsi" w:cstheme="minorHAnsi"/>
          <w:sz w:val="22"/>
          <w:szCs w:val="22"/>
        </w:rPr>
        <w:lastRenderedPageBreak/>
        <w:t>Training, Awareness &amp; Record Keeping</w:t>
      </w:r>
      <w:bookmarkEnd w:id="46"/>
    </w:p>
    <w:p w:rsidR="0071687D" w:rsidP="0071687D" w:rsidRDefault="0071687D" w14:paraId="5E610065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85795A" w:rsidR="0071687D" w:rsidP="0071687D" w:rsidRDefault="0071687D" w14:paraId="4A58FD21" w14:textId="77777777">
      <w:pPr>
        <w:rPr>
          <w:lang w:val="en-US"/>
        </w:rPr>
      </w:pPr>
      <w:r>
        <w:rPr>
          <w:lang w:val="en-US"/>
        </w:rPr>
        <w:t>Commentary:</w:t>
      </w:r>
    </w:p>
    <w:p w:rsidR="008469CA" w:rsidP="00BB055F" w:rsidRDefault="008469CA" w14:paraId="088ABEFA" w14:textId="619510BD">
      <w:pPr>
        <w:spacing w:before="60" w:after="120"/>
        <w:jc w:val="both"/>
        <w:rPr>
          <w:color w:val="000000"/>
          <w:szCs w:val="20"/>
        </w:rPr>
      </w:pPr>
    </w:p>
    <w:p w:rsidR="00A16476" w:rsidP="00BB055F" w:rsidRDefault="00A16476" w14:paraId="2EB006C4" w14:textId="32005A75">
      <w:pPr>
        <w:spacing w:before="60" w:after="120"/>
        <w:jc w:val="both"/>
        <w:rPr>
          <w:color w:val="000000"/>
          <w:szCs w:val="20"/>
        </w:rPr>
      </w:pPr>
    </w:p>
    <w:p w:rsidR="00A16476" w:rsidP="00BB055F" w:rsidRDefault="00A16476" w14:paraId="529AF865" w14:textId="1E3815E2">
      <w:pPr>
        <w:spacing w:before="60" w:after="120"/>
        <w:jc w:val="both"/>
        <w:rPr>
          <w:color w:val="000000"/>
          <w:szCs w:val="20"/>
        </w:rPr>
      </w:pPr>
    </w:p>
    <w:p w:rsidR="00E046AB" w:rsidP="00BB055F" w:rsidRDefault="00E046AB" w14:paraId="3096DAFB" w14:textId="77777777">
      <w:pPr>
        <w:spacing w:before="60" w:after="120"/>
        <w:jc w:val="both"/>
        <w:rPr>
          <w:color w:val="000000"/>
          <w:szCs w:val="20"/>
        </w:rPr>
      </w:pPr>
    </w:p>
    <w:p w:rsidR="00A16476" w:rsidP="00487EBF" w:rsidRDefault="00A16476" w14:paraId="1E55DABF" w14:textId="783ED0D1">
      <w:pPr>
        <w:pStyle w:val="Heading1"/>
        <w:numPr>
          <w:ilvl w:val="0"/>
          <w:numId w:val="0"/>
        </w:numPr>
      </w:pPr>
      <w:bookmarkStart w:name="_Toc131022745" w:id="47"/>
      <w:r w:rsidRPr="00000DB3">
        <w:t xml:space="preserve">PART </w:t>
      </w:r>
      <w:r>
        <w:t>B</w:t>
      </w:r>
      <w:r w:rsidRPr="00000DB3">
        <w:t xml:space="preserve">: </w:t>
      </w:r>
      <w:r>
        <w:t xml:space="preserve">SANCTIONS </w:t>
      </w:r>
      <w:r w:rsidRPr="00000DB3">
        <w:t>RISK ASSESSMENT</w:t>
      </w:r>
      <w:bookmarkEnd w:id="47"/>
    </w:p>
    <w:p w:rsidRPr="009D05F8" w:rsidR="0071687D" w:rsidP="0071687D" w:rsidRDefault="0071687D" w14:paraId="1275A4F9" w14:textId="77777777">
      <w:pPr>
        <w:pStyle w:val="Heading1"/>
      </w:pPr>
      <w:bookmarkStart w:name="_Toc131022746" w:id="48"/>
      <w:r>
        <w:t>Executive Summary</w:t>
      </w:r>
      <w:bookmarkEnd w:id="48"/>
    </w:p>
    <w:p w:rsidRPr="0018151E" w:rsidR="0071687D" w:rsidP="0071687D" w:rsidRDefault="0071687D" w14:paraId="46469F80" w14:textId="77777777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bookmarkStart w:name="_Toc131022747" w:id="49"/>
      <w:r w:rsidRPr="0018151E">
        <w:rPr>
          <w:rFonts w:asciiTheme="minorHAnsi" w:hAnsiTheme="minorHAnsi" w:cstheme="minorHAnsi"/>
          <w:sz w:val="24"/>
          <w:szCs w:val="24"/>
        </w:rPr>
        <w:t>Enterprise-wide Inherent Risk Ratings</w:t>
      </w:r>
      <w:bookmarkEnd w:id="49"/>
    </w:p>
    <w:p w:rsidR="0071687D" w:rsidP="0071687D" w:rsidRDefault="0071687D" w14:paraId="1E61D070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9D05F8" w:rsidR="0071687D" w:rsidP="0071687D" w:rsidRDefault="0071687D" w14:paraId="2986117C" w14:textId="77777777">
      <w:pPr>
        <w:rPr>
          <w:lang w:val="en-US"/>
        </w:rPr>
      </w:pPr>
      <w:r>
        <w:rPr>
          <w:lang w:val="en-US"/>
        </w:rPr>
        <w:t>Commentary:</w:t>
      </w:r>
    </w:p>
    <w:p w:rsidRPr="0018151E" w:rsidR="0071687D" w:rsidP="0071687D" w:rsidRDefault="0071687D" w14:paraId="17598FC0" w14:textId="77777777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bookmarkStart w:name="_Toc131022748" w:id="50"/>
      <w:r w:rsidRPr="0018151E">
        <w:rPr>
          <w:rFonts w:asciiTheme="minorHAnsi" w:hAnsiTheme="minorHAnsi" w:cstheme="minorHAnsi"/>
          <w:sz w:val="24"/>
          <w:szCs w:val="24"/>
        </w:rPr>
        <w:t>Jurisdiction-wise Inherent Risk Ratings</w:t>
      </w:r>
      <w:bookmarkEnd w:id="50"/>
    </w:p>
    <w:p w:rsidR="0071687D" w:rsidP="0071687D" w:rsidRDefault="0071687D" w14:paraId="61EC7A16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6E57E9" w:rsidR="0071687D" w:rsidP="0071687D" w:rsidRDefault="0071687D" w14:paraId="481486D1" w14:textId="77777777">
      <w:pPr>
        <w:rPr>
          <w:lang w:val="en-US"/>
        </w:rPr>
      </w:pPr>
      <w:r>
        <w:rPr>
          <w:lang w:val="en-US"/>
        </w:rPr>
        <w:t>Commentary:</w:t>
      </w:r>
    </w:p>
    <w:p w:rsidRPr="0018151E" w:rsidR="0071687D" w:rsidP="0071687D" w:rsidRDefault="0071687D" w14:paraId="5684DE2F" w14:textId="77777777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49" w:id="51"/>
      <w:r w:rsidRPr="0018151E">
        <w:rPr>
          <w:rFonts w:asciiTheme="minorHAnsi" w:hAnsiTheme="minorHAnsi" w:cstheme="minorHAnsi"/>
          <w:sz w:val="24"/>
          <w:szCs w:val="24"/>
        </w:rPr>
        <w:t>Enterprise-wide Control Effectiveness Scores</w:t>
      </w:r>
      <w:bookmarkEnd w:id="51"/>
    </w:p>
    <w:p w:rsidR="0071687D" w:rsidP="0071687D" w:rsidRDefault="0071687D" w14:paraId="424C9E3F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6E57E9" w:rsidR="0071687D" w:rsidP="0071687D" w:rsidRDefault="0071687D" w14:paraId="105FA351" w14:textId="77777777">
      <w:pPr>
        <w:rPr>
          <w:lang w:val="en-US"/>
        </w:rPr>
      </w:pPr>
      <w:r>
        <w:rPr>
          <w:lang w:val="en-US"/>
        </w:rPr>
        <w:t>Commentary:</w:t>
      </w:r>
    </w:p>
    <w:p w:rsidRPr="0018151E" w:rsidR="0071687D" w:rsidP="0071687D" w:rsidRDefault="0071687D" w14:paraId="40091864" w14:textId="77777777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50" w:id="52"/>
      <w:r w:rsidRPr="0018151E">
        <w:rPr>
          <w:rFonts w:asciiTheme="minorHAnsi" w:hAnsiTheme="minorHAnsi" w:cstheme="minorHAnsi"/>
          <w:sz w:val="24"/>
          <w:szCs w:val="24"/>
        </w:rPr>
        <w:t>Enterprise-wide Residual Risk Rating</w:t>
      </w:r>
      <w:bookmarkEnd w:id="52"/>
    </w:p>
    <w:p w:rsidR="0071687D" w:rsidP="0071687D" w:rsidRDefault="0071687D" w14:paraId="37F9967C" w14:textId="77777777">
      <w:pPr>
        <w:rPr>
          <w:lang w:val="en-US"/>
        </w:rPr>
      </w:pPr>
      <w:r>
        <w:rPr>
          <w:lang w:val="en-US"/>
        </w:rPr>
        <w:t>Summary Table:</w:t>
      </w:r>
    </w:p>
    <w:p w:rsidR="0071687D" w:rsidP="0071687D" w:rsidRDefault="0071687D" w14:paraId="520E879E" w14:textId="44115250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0A4524CE" w14:textId="77777777">
      <w:pPr>
        <w:rPr>
          <w:lang w:val="en-US"/>
        </w:rPr>
      </w:pPr>
    </w:p>
    <w:p w:rsidR="0071687D" w:rsidP="0071687D" w:rsidRDefault="0071687D" w14:paraId="673176DB" w14:textId="77777777">
      <w:pPr>
        <w:rPr>
          <w:lang w:val="en-US"/>
        </w:rPr>
      </w:pPr>
    </w:p>
    <w:p w:rsidR="0071687D" w:rsidP="0071687D" w:rsidRDefault="0071687D" w14:paraId="59FCB234" w14:textId="77777777">
      <w:pPr>
        <w:rPr>
          <w:lang w:val="en-US"/>
        </w:rPr>
      </w:pPr>
    </w:p>
    <w:p w:rsidR="0071687D" w:rsidP="0071687D" w:rsidRDefault="0071687D" w14:paraId="07DAA1B6" w14:textId="77777777">
      <w:pPr>
        <w:rPr>
          <w:lang w:val="en-US"/>
        </w:rPr>
      </w:pPr>
    </w:p>
    <w:p w:rsidR="0071687D" w:rsidP="0071687D" w:rsidRDefault="0071687D" w14:paraId="1ABFAFE9" w14:textId="77777777">
      <w:pPr>
        <w:rPr>
          <w:lang w:val="en-US"/>
        </w:rPr>
      </w:pPr>
    </w:p>
    <w:p w:rsidR="0071687D" w:rsidP="0071687D" w:rsidRDefault="0071687D" w14:paraId="23993785" w14:textId="77777777">
      <w:pPr>
        <w:rPr>
          <w:lang w:val="en-US"/>
        </w:rPr>
      </w:pPr>
    </w:p>
    <w:p w:rsidR="0071687D" w:rsidP="0071687D" w:rsidRDefault="0071687D" w14:paraId="6BB57CAB" w14:textId="77777777">
      <w:pPr>
        <w:rPr>
          <w:lang w:val="en-US"/>
        </w:rPr>
      </w:pPr>
    </w:p>
    <w:p w:rsidR="0071687D" w:rsidP="0071687D" w:rsidRDefault="0071687D" w14:paraId="44E349CC" w14:textId="77777777">
      <w:pPr>
        <w:rPr>
          <w:lang w:val="en-US"/>
        </w:rPr>
      </w:pPr>
    </w:p>
    <w:p w:rsidR="0071687D" w:rsidP="0071687D" w:rsidRDefault="0071687D" w14:paraId="46800875" w14:textId="77777777">
      <w:pPr>
        <w:rPr>
          <w:lang w:val="en-US"/>
        </w:rPr>
      </w:pPr>
    </w:p>
    <w:p w:rsidR="0071687D" w:rsidP="0071687D" w:rsidRDefault="0071687D" w14:paraId="509F3DD2" w14:textId="77777777">
      <w:pPr>
        <w:rPr>
          <w:lang w:val="en-US"/>
        </w:rPr>
      </w:pPr>
    </w:p>
    <w:p w:rsidR="0071687D" w:rsidP="0071687D" w:rsidRDefault="0071687D" w14:paraId="6F4A8871" w14:textId="77777777">
      <w:pPr>
        <w:rPr>
          <w:lang w:val="en-US"/>
        </w:rPr>
      </w:pPr>
    </w:p>
    <w:p w:rsidR="0071687D" w:rsidP="0071687D" w:rsidRDefault="0071687D" w14:paraId="43802B43" w14:textId="77777777">
      <w:pPr>
        <w:rPr>
          <w:lang w:val="en-US"/>
        </w:rPr>
      </w:pPr>
    </w:p>
    <w:p w:rsidR="0071687D" w:rsidP="0071687D" w:rsidRDefault="0071687D" w14:paraId="06FBE27A" w14:textId="77777777">
      <w:pPr>
        <w:rPr>
          <w:lang w:val="en-US"/>
        </w:rPr>
      </w:pPr>
    </w:p>
    <w:p w:rsidRPr="0071687D" w:rsidR="0071687D" w:rsidP="0071687D" w:rsidRDefault="0071687D" w14:paraId="0ECDD42B" w14:textId="77777777">
      <w:pPr>
        <w:rPr>
          <w:lang w:val="en-US"/>
        </w:rPr>
      </w:pPr>
    </w:p>
    <w:p w:rsidR="0071687D" w:rsidP="0071687D" w:rsidRDefault="0071687D" w14:paraId="0F481F2D" w14:textId="77777777">
      <w:pPr>
        <w:pStyle w:val="Heading1"/>
      </w:pPr>
      <w:bookmarkStart w:name="_Toc131022751" w:id="53"/>
      <w:r>
        <w:t>Inherent Risk Assessment – Retail Banking Group (RBG)</w:t>
      </w:r>
      <w:bookmarkEnd w:id="53"/>
    </w:p>
    <w:p w:rsidR="0071687D" w:rsidP="0071687D" w:rsidRDefault="0071687D" w14:paraId="5CE0B4AC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33801495" w14:textId="77777777">
      <w:pPr>
        <w:rPr>
          <w:lang w:val="en-US"/>
        </w:rPr>
      </w:pPr>
      <w:r>
        <w:rPr>
          <w:lang w:val="en-US"/>
        </w:rPr>
        <w:t>Commentary:</w:t>
      </w:r>
    </w:p>
    <w:p w:rsidRPr="0018151E" w:rsidR="0071687D" w:rsidP="0071687D" w:rsidRDefault="0071687D" w14:paraId="53A279C2" w14:textId="77777777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52" w:id="54"/>
      <w:r w:rsidRPr="0018151E">
        <w:rPr>
          <w:rFonts w:asciiTheme="minorHAnsi" w:hAnsiTheme="minorHAnsi" w:cstheme="minorHAnsi"/>
          <w:sz w:val="24"/>
          <w:szCs w:val="24"/>
        </w:rPr>
        <w:t>Mass Market</w:t>
      </w:r>
      <w:bookmarkEnd w:id="54"/>
    </w:p>
    <w:p w:rsidR="0071687D" w:rsidP="0071687D" w:rsidRDefault="0071687D" w14:paraId="1B25FB51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53" w:id="55"/>
      <w:r>
        <w:rPr>
          <w:rFonts w:eastAsiaTheme="minorHAnsi"/>
          <w:sz w:val="22"/>
          <w:szCs w:val="22"/>
        </w:rPr>
        <w:t>Customer Risk</w:t>
      </w:r>
      <w:bookmarkEnd w:id="55"/>
    </w:p>
    <w:p w:rsidR="0071687D" w:rsidP="0071687D" w:rsidRDefault="0071687D" w14:paraId="1B272539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47CBCA88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7025A08A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54" w:id="56"/>
      <w:r>
        <w:rPr>
          <w:rFonts w:eastAsiaTheme="minorHAnsi"/>
          <w:sz w:val="22"/>
          <w:szCs w:val="22"/>
        </w:rPr>
        <w:t>Products &amp; Services Risk</w:t>
      </w:r>
      <w:bookmarkEnd w:id="56"/>
    </w:p>
    <w:p w:rsidR="0071687D" w:rsidP="0071687D" w:rsidRDefault="0071687D" w14:paraId="6E8CC5DE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298FB9AE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09D30E92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55" w:id="57"/>
      <w:r>
        <w:rPr>
          <w:rFonts w:eastAsiaTheme="minorHAnsi"/>
          <w:sz w:val="22"/>
          <w:szCs w:val="22"/>
        </w:rPr>
        <w:t>Geography Risk</w:t>
      </w:r>
      <w:bookmarkEnd w:id="57"/>
    </w:p>
    <w:p w:rsidR="0071687D" w:rsidP="0071687D" w:rsidRDefault="0071687D" w14:paraId="00E2C006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15ED5683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5803B182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56" w:id="58"/>
      <w:r>
        <w:rPr>
          <w:rFonts w:eastAsiaTheme="minorHAnsi"/>
          <w:sz w:val="22"/>
          <w:szCs w:val="22"/>
        </w:rPr>
        <w:t>Qualitative Risk Factors</w:t>
      </w:r>
      <w:bookmarkEnd w:id="58"/>
    </w:p>
    <w:p w:rsidR="0071687D" w:rsidP="0071687D" w:rsidRDefault="0071687D" w14:paraId="20BDA79D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26D3EE48" w14:textId="77777777">
      <w:pPr>
        <w:rPr>
          <w:lang w:val="en-US"/>
        </w:rPr>
      </w:pPr>
      <w:r>
        <w:rPr>
          <w:lang w:val="en-US"/>
        </w:rPr>
        <w:t>Commentary:</w:t>
      </w:r>
    </w:p>
    <w:p w:rsidRPr="0018151E" w:rsidR="0071687D" w:rsidP="0071687D" w:rsidRDefault="0071687D" w14:paraId="2B68F522" w14:textId="77777777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57" w:id="59"/>
      <w:r w:rsidRPr="0018151E">
        <w:rPr>
          <w:rFonts w:asciiTheme="minorHAnsi" w:hAnsiTheme="minorHAnsi" w:cstheme="minorHAnsi"/>
          <w:sz w:val="24"/>
          <w:szCs w:val="24"/>
        </w:rPr>
        <w:t>Private Banking</w:t>
      </w:r>
      <w:bookmarkEnd w:id="59"/>
    </w:p>
    <w:p w:rsidR="0071687D" w:rsidP="0071687D" w:rsidRDefault="0071687D" w14:paraId="7490DCEF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58" w:id="60"/>
      <w:r>
        <w:rPr>
          <w:rFonts w:eastAsiaTheme="minorHAnsi"/>
          <w:sz w:val="22"/>
          <w:szCs w:val="22"/>
        </w:rPr>
        <w:t>Customer Risk</w:t>
      </w:r>
      <w:bookmarkEnd w:id="60"/>
    </w:p>
    <w:p w:rsidR="0071687D" w:rsidP="0071687D" w:rsidRDefault="0071687D" w14:paraId="7478B6E1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560CD1E5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44DD1748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59" w:id="61"/>
      <w:r>
        <w:rPr>
          <w:rFonts w:eastAsiaTheme="minorHAnsi"/>
          <w:sz w:val="22"/>
          <w:szCs w:val="22"/>
        </w:rPr>
        <w:t>Products &amp; Services Risk</w:t>
      </w:r>
      <w:bookmarkEnd w:id="61"/>
    </w:p>
    <w:p w:rsidR="0071687D" w:rsidP="0071687D" w:rsidRDefault="0071687D" w14:paraId="70D2FDDE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6962303F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76E1D1CD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60" w:id="62"/>
      <w:r>
        <w:rPr>
          <w:rFonts w:eastAsiaTheme="minorHAnsi"/>
          <w:sz w:val="22"/>
          <w:szCs w:val="22"/>
        </w:rPr>
        <w:lastRenderedPageBreak/>
        <w:t>Geography Risk</w:t>
      </w:r>
      <w:bookmarkEnd w:id="62"/>
    </w:p>
    <w:p w:rsidR="0071687D" w:rsidP="0071687D" w:rsidRDefault="0071687D" w14:paraId="503A9B69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7368E162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68FD16A6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61" w:id="63"/>
      <w:r>
        <w:rPr>
          <w:rFonts w:eastAsiaTheme="minorHAnsi"/>
          <w:sz w:val="22"/>
          <w:szCs w:val="22"/>
        </w:rPr>
        <w:t>Qualitative Risk Factors</w:t>
      </w:r>
      <w:bookmarkEnd w:id="63"/>
    </w:p>
    <w:p w:rsidR="0071687D" w:rsidP="0071687D" w:rsidRDefault="0071687D" w14:paraId="505AD703" w14:textId="77777777">
      <w:pPr>
        <w:rPr>
          <w:lang w:val="en-US"/>
        </w:rPr>
      </w:pPr>
      <w:r>
        <w:rPr>
          <w:lang w:val="en-US"/>
        </w:rPr>
        <w:t>Summary Table:</w:t>
      </w:r>
    </w:p>
    <w:p w:rsidR="0071687D" w:rsidP="0071687D" w:rsidRDefault="0071687D" w14:paraId="47F77FD5" w14:textId="77777777">
      <w:pPr>
        <w:rPr>
          <w:lang w:val="en-US"/>
        </w:rPr>
      </w:pPr>
      <w:r>
        <w:rPr>
          <w:lang w:val="en-US"/>
        </w:rPr>
        <w:t>Commentary:</w:t>
      </w:r>
    </w:p>
    <w:p w:rsidRPr="005C75A4" w:rsidR="0071687D" w:rsidP="0071687D" w:rsidRDefault="0071687D" w14:paraId="7CEFDDE0" w14:textId="77777777">
      <w:pPr>
        <w:pStyle w:val="Heading1"/>
      </w:pPr>
      <w:bookmarkStart w:name="_Toc131022762" w:id="64"/>
      <w:r>
        <w:t>Inherent Risk Assessment – Corporate Banking Group (CBG)</w:t>
      </w:r>
      <w:bookmarkEnd w:id="64"/>
    </w:p>
    <w:p w:rsidR="0071687D" w:rsidP="0071687D" w:rsidRDefault="0071687D" w14:paraId="191FCFDE" w14:textId="77777777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63" w:id="65"/>
      <w:r w:rsidRPr="005C75A4">
        <w:rPr>
          <w:rFonts w:asciiTheme="minorHAnsi" w:hAnsiTheme="minorHAnsi" w:cstheme="minorHAnsi"/>
          <w:sz w:val="24"/>
          <w:szCs w:val="24"/>
        </w:rPr>
        <w:t>Wholesale Banking</w:t>
      </w:r>
      <w:bookmarkEnd w:id="65"/>
    </w:p>
    <w:p w:rsidR="0071687D" w:rsidP="0071687D" w:rsidRDefault="0071687D" w14:paraId="747623EE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64" w:id="66"/>
      <w:r>
        <w:rPr>
          <w:rFonts w:eastAsiaTheme="minorHAnsi"/>
          <w:sz w:val="22"/>
          <w:szCs w:val="22"/>
        </w:rPr>
        <w:t>Customer Risk</w:t>
      </w:r>
      <w:bookmarkEnd w:id="66"/>
    </w:p>
    <w:p w:rsidR="0071687D" w:rsidP="0071687D" w:rsidRDefault="0071687D" w14:paraId="734D48B6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76EB53A4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3CF4BF94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65" w:id="67"/>
      <w:r>
        <w:rPr>
          <w:rFonts w:eastAsiaTheme="minorHAnsi"/>
          <w:sz w:val="22"/>
          <w:szCs w:val="22"/>
        </w:rPr>
        <w:t>Products &amp; Services Risk</w:t>
      </w:r>
      <w:bookmarkEnd w:id="67"/>
    </w:p>
    <w:p w:rsidR="0071687D" w:rsidP="0071687D" w:rsidRDefault="0071687D" w14:paraId="14665421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34B634C7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4D139860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66" w:id="68"/>
      <w:r>
        <w:rPr>
          <w:rFonts w:eastAsiaTheme="minorHAnsi"/>
          <w:sz w:val="22"/>
          <w:szCs w:val="22"/>
        </w:rPr>
        <w:t>Geography Risk</w:t>
      </w:r>
      <w:bookmarkEnd w:id="68"/>
    </w:p>
    <w:p w:rsidR="0071687D" w:rsidP="0071687D" w:rsidRDefault="0071687D" w14:paraId="03C96BCD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6139518A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746F2C6D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67" w:id="69"/>
      <w:r>
        <w:rPr>
          <w:rFonts w:eastAsiaTheme="minorHAnsi"/>
          <w:sz w:val="22"/>
          <w:szCs w:val="22"/>
        </w:rPr>
        <w:t>Qualitative Risk Factors</w:t>
      </w:r>
      <w:bookmarkEnd w:id="69"/>
    </w:p>
    <w:p w:rsidR="0071687D" w:rsidP="0071687D" w:rsidRDefault="0071687D" w14:paraId="680835A0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5C75A4" w:rsidR="0071687D" w:rsidP="0071687D" w:rsidRDefault="0071687D" w14:paraId="1DFE27D9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3A4B78D0" w14:textId="77777777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name="_Toc131022768" w:id="70"/>
      <w:r w:rsidRPr="0019110A">
        <w:rPr>
          <w:rFonts w:asciiTheme="minorHAnsi" w:hAnsiTheme="minorHAnsi" w:cstheme="minorHAnsi"/>
          <w:sz w:val="24"/>
          <w:szCs w:val="24"/>
        </w:rPr>
        <w:t>SME</w:t>
      </w:r>
      <w:bookmarkEnd w:id="70"/>
    </w:p>
    <w:p w:rsidR="0071687D" w:rsidP="0071687D" w:rsidRDefault="0071687D" w14:paraId="7C669A40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69" w:id="71"/>
      <w:r>
        <w:rPr>
          <w:rFonts w:eastAsiaTheme="minorHAnsi"/>
          <w:sz w:val="22"/>
          <w:szCs w:val="22"/>
        </w:rPr>
        <w:t>Customer Risk</w:t>
      </w:r>
      <w:bookmarkEnd w:id="71"/>
    </w:p>
    <w:p w:rsidR="0071687D" w:rsidP="0071687D" w:rsidRDefault="0071687D" w14:paraId="07388F86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1FE6CE57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74869E18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70" w:id="72"/>
      <w:r>
        <w:rPr>
          <w:rFonts w:eastAsiaTheme="minorHAnsi"/>
          <w:sz w:val="22"/>
          <w:szCs w:val="22"/>
        </w:rPr>
        <w:t>Products &amp; Services Risk</w:t>
      </w:r>
      <w:bookmarkEnd w:id="72"/>
    </w:p>
    <w:p w:rsidR="0071687D" w:rsidP="0071687D" w:rsidRDefault="0071687D" w14:paraId="6B6BEB4A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262E575E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5ADA70C3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71" w:id="73"/>
      <w:r>
        <w:rPr>
          <w:rFonts w:eastAsiaTheme="minorHAnsi"/>
          <w:sz w:val="22"/>
          <w:szCs w:val="22"/>
        </w:rPr>
        <w:t>Geography Risk</w:t>
      </w:r>
      <w:bookmarkEnd w:id="73"/>
    </w:p>
    <w:p w:rsidR="0071687D" w:rsidP="0071687D" w:rsidRDefault="0071687D" w14:paraId="0924CADA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6386B0C9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272A74E5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72" w:id="74"/>
      <w:r>
        <w:rPr>
          <w:rFonts w:eastAsiaTheme="minorHAnsi"/>
          <w:sz w:val="22"/>
          <w:szCs w:val="22"/>
        </w:rPr>
        <w:lastRenderedPageBreak/>
        <w:t>Qualitative Risk Factors</w:t>
      </w:r>
      <w:bookmarkEnd w:id="74"/>
    </w:p>
    <w:p w:rsidR="0071687D" w:rsidP="0071687D" w:rsidRDefault="0071687D" w14:paraId="22D33C13" w14:textId="77777777">
      <w:pPr>
        <w:rPr>
          <w:lang w:val="en-US"/>
        </w:rPr>
      </w:pPr>
      <w:r>
        <w:rPr>
          <w:lang w:val="en-US"/>
        </w:rPr>
        <w:t>Summary Table:</w:t>
      </w:r>
    </w:p>
    <w:p w:rsidR="0071687D" w:rsidP="0071687D" w:rsidRDefault="0071687D" w14:paraId="1CB4784D" w14:textId="77777777">
      <w:pPr>
        <w:rPr>
          <w:lang w:val="en-US"/>
        </w:rPr>
      </w:pPr>
      <w:r>
        <w:rPr>
          <w:lang w:val="en-US"/>
        </w:rPr>
        <w:t>Commentary:</w:t>
      </w:r>
    </w:p>
    <w:p w:rsidRPr="005C75A4" w:rsidR="0071687D" w:rsidP="0071687D" w:rsidRDefault="0071687D" w14:paraId="5277DBD1" w14:textId="77777777">
      <w:pPr>
        <w:pStyle w:val="Heading1"/>
      </w:pPr>
      <w:bookmarkStart w:name="_Toc131022773" w:id="75"/>
      <w:r>
        <w:t>Inherent Risk Assessment – Treasury Banking Group (TBG)</w:t>
      </w:r>
      <w:bookmarkEnd w:id="75"/>
    </w:p>
    <w:p w:rsidR="0071687D" w:rsidP="0071687D" w:rsidRDefault="0071687D" w14:paraId="5B38C375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74" w:id="76"/>
      <w:r>
        <w:rPr>
          <w:rFonts w:eastAsiaTheme="minorHAnsi"/>
          <w:sz w:val="22"/>
          <w:szCs w:val="22"/>
        </w:rPr>
        <w:t>Customer Risk</w:t>
      </w:r>
      <w:bookmarkEnd w:id="76"/>
    </w:p>
    <w:p w:rsidR="0071687D" w:rsidP="0071687D" w:rsidRDefault="0071687D" w14:paraId="2BAF33E0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7B65E014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0E5258F4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75" w:id="77"/>
      <w:r>
        <w:rPr>
          <w:rFonts w:eastAsiaTheme="minorHAnsi"/>
          <w:sz w:val="22"/>
          <w:szCs w:val="22"/>
        </w:rPr>
        <w:t>Products &amp; Services Risk</w:t>
      </w:r>
      <w:bookmarkEnd w:id="77"/>
    </w:p>
    <w:p w:rsidR="0071687D" w:rsidP="0071687D" w:rsidRDefault="0071687D" w14:paraId="082B3B85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7D971D9A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2957974E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76" w:id="78"/>
      <w:r>
        <w:rPr>
          <w:rFonts w:eastAsiaTheme="minorHAnsi"/>
          <w:sz w:val="22"/>
          <w:szCs w:val="22"/>
        </w:rPr>
        <w:t>Geography Risk</w:t>
      </w:r>
      <w:bookmarkEnd w:id="78"/>
    </w:p>
    <w:p w:rsidR="0071687D" w:rsidP="0071687D" w:rsidRDefault="0071687D" w14:paraId="205456A4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18151E" w:rsidR="0071687D" w:rsidP="0071687D" w:rsidRDefault="0071687D" w14:paraId="5E8C9A1B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19E1F7D1" w14:textId="77777777">
      <w:pPr>
        <w:pStyle w:val="Heading3"/>
        <w:ind w:left="1077"/>
        <w:jc w:val="left"/>
        <w:rPr>
          <w:rFonts w:eastAsiaTheme="minorHAnsi"/>
          <w:sz w:val="22"/>
          <w:szCs w:val="22"/>
        </w:rPr>
      </w:pPr>
      <w:bookmarkStart w:name="_Toc131022777" w:id="79"/>
      <w:r>
        <w:rPr>
          <w:rFonts w:eastAsiaTheme="minorHAnsi"/>
          <w:sz w:val="22"/>
          <w:szCs w:val="22"/>
        </w:rPr>
        <w:t>Qualitative Risk Factors</w:t>
      </w:r>
      <w:bookmarkEnd w:id="79"/>
    </w:p>
    <w:p w:rsidR="0071687D" w:rsidP="0071687D" w:rsidRDefault="0071687D" w14:paraId="0CECDBAE" w14:textId="77777777">
      <w:pPr>
        <w:rPr>
          <w:lang w:val="en-US"/>
        </w:rPr>
      </w:pPr>
      <w:r>
        <w:rPr>
          <w:lang w:val="en-US"/>
        </w:rPr>
        <w:t>Summary Table:</w:t>
      </w:r>
    </w:p>
    <w:p w:rsidR="0071687D" w:rsidP="0071687D" w:rsidRDefault="0071687D" w14:paraId="75B45203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21BB38F3" w14:textId="77777777">
      <w:pPr>
        <w:rPr>
          <w:lang w:val="en-US"/>
        </w:rPr>
      </w:pPr>
    </w:p>
    <w:p w:rsidR="0071687D" w:rsidP="0071687D" w:rsidRDefault="0071687D" w14:paraId="26847F7F" w14:textId="77777777">
      <w:pPr>
        <w:rPr>
          <w:lang w:val="en-US"/>
        </w:rPr>
      </w:pPr>
    </w:p>
    <w:p w:rsidR="0071687D" w:rsidP="0071687D" w:rsidRDefault="0071687D" w14:paraId="441BEDF9" w14:textId="77777777">
      <w:pPr>
        <w:rPr>
          <w:lang w:val="en-US"/>
        </w:rPr>
      </w:pPr>
    </w:p>
    <w:p w:rsidR="002C71F9" w:rsidP="0071687D" w:rsidRDefault="002C71F9" w14:paraId="4A839F81" w14:textId="77777777">
      <w:pPr>
        <w:rPr>
          <w:lang w:val="en-US"/>
        </w:rPr>
      </w:pPr>
    </w:p>
    <w:p w:rsidR="002C71F9" w:rsidP="0071687D" w:rsidRDefault="002C71F9" w14:paraId="0BEE71FD" w14:textId="77777777">
      <w:pPr>
        <w:rPr>
          <w:lang w:val="en-US"/>
        </w:rPr>
      </w:pPr>
    </w:p>
    <w:p w:rsidR="002C71F9" w:rsidP="0071687D" w:rsidRDefault="002C71F9" w14:paraId="36174DA6" w14:textId="77777777">
      <w:pPr>
        <w:rPr>
          <w:lang w:val="en-US"/>
        </w:rPr>
      </w:pPr>
    </w:p>
    <w:p w:rsidR="002C71F9" w:rsidP="0071687D" w:rsidRDefault="002C71F9" w14:paraId="2C9C3140" w14:textId="77777777">
      <w:pPr>
        <w:rPr>
          <w:lang w:val="en-US"/>
        </w:rPr>
      </w:pPr>
    </w:p>
    <w:p w:rsidR="002C71F9" w:rsidP="0071687D" w:rsidRDefault="002C71F9" w14:paraId="29CD4C8F" w14:textId="77777777">
      <w:pPr>
        <w:rPr>
          <w:lang w:val="en-US"/>
        </w:rPr>
      </w:pPr>
    </w:p>
    <w:p w:rsidR="002C71F9" w:rsidP="0071687D" w:rsidRDefault="002C71F9" w14:paraId="2292A3C9" w14:textId="77777777">
      <w:pPr>
        <w:rPr>
          <w:lang w:val="en-US"/>
        </w:rPr>
      </w:pPr>
    </w:p>
    <w:p w:rsidR="002C71F9" w:rsidP="0071687D" w:rsidRDefault="002C71F9" w14:paraId="5986DC7B" w14:textId="77777777">
      <w:pPr>
        <w:rPr>
          <w:lang w:val="en-US"/>
        </w:rPr>
      </w:pPr>
    </w:p>
    <w:p w:rsidR="002C71F9" w:rsidP="0071687D" w:rsidRDefault="002C71F9" w14:paraId="19CD46BC" w14:textId="77777777">
      <w:pPr>
        <w:rPr>
          <w:lang w:val="en-US"/>
        </w:rPr>
      </w:pPr>
    </w:p>
    <w:p w:rsidR="002C71F9" w:rsidP="0071687D" w:rsidRDefault="002C71F9" w14:paraId="12DAB7E6" w14:textId="77777777">
      <w:pPr>
        <w:rPr>
          <w:lang w:val="en-US"/>
        </w:rPr>
      </w:pPr>
    </w:p>
    <w:p w:rsidR="002C71F9" w:rsidP="0071687D" w:rsidRDefault="002C71F9" w14:paraId="4BC34E70" w14:textId="77777777">
      <w:pPr>
        <w:rPr>
          <w:lang w:val="en-US"/>
        </w:rPr>
      </w:pPr>
    </w:p>
    <w:p w:rsidR="002C71F9" w:rsidP="0071687D" w:rsidRDefault="002C71F9" w14:paraId="3D0F7FFD" w14:textId="77777777">
      <w:pPr>
        <w:rPr>
          <w:lang w:val="en-US"/>
        </w:rPr>
      </w:pPr>
    </w:p>
    <w:p w:rsidR="002C71F9" w:rsidP="0071687D" w:rsidRDefault="002C71F9" w14:paraId="257D87D3" w14:textId="77777777">
      <w:pPr>
        <w:rPr>
          <w:lang w:val="en-US"/>
        </w:rPr>
      </w:pPr>
    </w:p>
    <w:p w:rsidR="002C71F9" w:rsidP="0071687D" w:rsidRDefault="002C71F9" w14:paraId="66CD676A" w14:textId="77777777">
      <w:pPr>
        <w:rPr>
          <w:lang w:val="en-US"/>
        </w:rPr>
      </w:pPr>
    </w:p>
    <w:p w:rsidR="002C71F9" w:rsidP="0071687D" w:rsidRDefault="002C71F9" w14:paraId="6E0E0FA4" w14:textId="77777777">
      <w:pPr>
        <w:rPr>
          <w:lang w:val="en-US"/>
        </w:rPr>
      </w:pPr>
    </w:p>
    <w:p w:rsidRPr="005C75A4" w:rsidR="002C71F9" w:rsidP="0071687D" w:rsidRDefault="002C71F9" w14:paraId="021FADB0" w14:textId="77777777">
      <w:pPr>
        <w:rPr>
          <w:lang w:val="en-US"/>
        </w:rPr>
      </w:pPr>
    </w:p>
    <w:p w:rsidR="0071687D" w:rsidP="0071687D" w:rsidRDefault="0071687D" w14:paraId="7E854431" w14:textId="77777777">
      <w:pPr>
        <w:pStyle w:val="Heading1"/>
      </w:pPr>
      <w:bookmarkStart w:name="_Toc131022778" w:id="80"/>
      <w:r>
        <w:t>Control Environment Assessment</w:t>
      </w:r>
      <w:bookmarkEnd w:id="80"/>
    </w:p>
    <w:p w:rsidR="0071687D" w:rsidP="0071687D" w:rsidRDefault="0071687D" w14:paraId="59960ABA" w14:textId="77777777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79" w:id="81"/>
      <w:r>
        <w:rPr>
          <w:rFonts w:asciiTheme="minorHAnsi" w:hAnsiTheme="minorHAnsi" w:cstheme="minorHAnsi"/>
          <w:sz w:val="22"/>
          <w:szCs w:val="22"/>
        </w:rPr>
        <w:t>Governance and Risk Management</w:t>
      </w:r>
      <w:bookmarkEnd w:id="81"/>
    </w:p>
    <w:p w:rsidR="0071687D" w:rsidP="0071687D" w:rsidRDefault="0071687D" w14:paraId="6C267662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85795A" w:rsidR="0071687D" w:rsidP="0071687D" w:rsidRDefault="0071687D" w14:paraId="1A986E43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64CAC01A" w14:textId="77777777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80" w:id="82"/>
      <w:r>
        <w:rPr>
          <w:rFonts w:asciiTheme="minorHAnsi" w:hAnsiTheme="minorHAnsi" w:cstheme="minorHAnsi"/>
          <w:sz w:val="22"/>
          <w:szCs w:val="22"/>
        </w:rPr>
        <w:t>Policies and Procedures</w:t>
      </w:r>
      <w:bookmarkEnd w:id="82"/>
    </w:p>
    <w:p w:rsidR="0071687D" w:rsidP="0071687D" w:rsidRDefault="0071687D" w14:paraId="51389563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85795A" w:rsidR="0071687D" w:rsidP="0071687D" w:rsidRDefault="0071687D" w14:paraId="02C7DF0B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271DE1" w14:paraId="0A0AF94A" w14:textId="6E1577A9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81" w:id="83"/>
      <w:r>
        <w:rPr>
          <w:rFonts w:asciiTheme="minorHAnsi" w:hAnsiTheme="minorHAnsi" w:cstheme="minorHAnsi"/>
          <w:sz w:val="22"/>
          <w:szCs w:val="22"/>
        </w:rPr>
        <w:t xml:space="preserve">Name </w:t>
      </w:r>
      <w:r w:rsidR="0071687D">
        <w:rPr>
          <w:rFonts w:asciiTheme="minorHAnsi" w:hAnsiTheme="minorHAnsi" w:cstheme="minorHAnsi"/>
          <w:sz w:val="22"/>
          <w:szCs w:val="22"/>
        </w:rPr>
        <w:t>Screening</w:t>
      </w:r>
      <w:r w:rsidR="008475FA">
        <w:rPr>
          <w:rFonts w:asciiTheme="minorHAnsi" w:hAnsiTheme="minorHAnsi" w:cstheme="minorHAnsi"/>
          <w:sz w:val="22"/>
          <w:szCs w:val="22"/>
        </w:rPr>
        <w:t xml:space="preserve"> &amp; CDD</w:t>
      </w:r>
      <w:bookmarkEnd w:id="83"/>
    </w:p>
    <w:p w:rsidR="0071687D" w:rsidP="0071687D" w:rsidRDefault="0071687D" w14:paraId="620A305F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71687D" w:rsidR="0071687D" w:rsidP="0071687D" w:rsidRDefault="0071687D" w14:paraId="3BEE97F6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271DE1" w14:paraId="4B487DFA" w14:textId="527AE4F7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82" w:id="84"/>
      <w:r>
        <w:rPr>
          <w:rFonts w:asciiTheme="minorHAnsi" w:hAnsiTheme="minorHAnsi" w:cstheme="minorHAnsi"/>
          <w:sz w:val="22"/>
          <w:szCs w:val="22"/>
        </w:rPr>
        <w:t>Payment Screening</w:t>
      </w:r>
      <w:bookmarkEnd w:id="84"/>
    </w:p>
    <w:p w:rsidR="0071687D" w:rsidP="0071687D" w:rsidRDefault="0071687D" w14:paraId="3715AFD8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71687D" w:rsidR="0071687D" w:rsidP="0071687D" w:rsidRDefault="0071687D" w14:paraId="5607CB02" w14:textId="77777777">
      <w:pPr>
        <w:rPr>
          <w:lang w:val="en-US"/>
        </w:rPr>
      </w:pPr>
      <w:r>
        <w:rPr>
          <w:lang w:val="en-US"/>
        </w:rPr>
        <w:t>Commentary:</w:t>
      </w:r>
    </w:p>
    <w:p w:rsidR="00704B7F" w:rsidP="0071687D" w:rsidRDefault="00704B7F" w14:paraId="3B06A7A1" w14:textId="43D72E8E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83" w:id="85"/>
      <w:r>
        <w:rPr>
          <w:rFonts w:asciiTheme="minorHAnsi" w:hAnsiTheme="minorHAnsi" w:cstheme="minorHAnsi"/>
          <w:sz w:val="22"/>
          <w:szCs w:val="22"/>
        </w:rPr>
        <w:t>Employee &amp; Third-Party Screening</w:t>
      </w:r>
      <w:bookmarkEnd w:id="85"/>
    </w:p>
    <w:p w:rsidR="007B59CC" w:rsidP="007B59CC" w:rsidRDefault="007B59CC" w14:paraId="2D1CF137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7B59CC" w:rsidR="007B59CC" w:rsidP="007B59CC" w:rsidRDefault="007B59CC" w14:paraId="44132270" w14:textId="1B7F8E18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0403E7E4" w14:textId="11DF3526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84" w:id="86"/>
      <w:r>
        <w:rPr>
          <w:rFonts w:asciiTheme="minorHAnsi" w:hAnsiTheme="minorHAnsi" w:cstheme="minorHAnsi"/>
          <w:sz w:val="22"/>
          <w:szCs w:val="22"/>
        </w:rPr>
        <w:t>Compliance Assurance &amp; Independent Testing</w:t>
      </w:r>
      <w:bookmarkEnd w:id="86"/>
    </w:p>
    <w:p w:rsidR="0071687D" w:rsidP="0071687D" w:rsidRDefault="0071687D" w14:paraId="24E3D957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71687D" w:rsidR="0071687D" w:rsidP="0071687D" w:rsidRDefault="0071687D" w14:paraId="5415AB55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5E5AB5B7" w14:textId="77777777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85" w:id="87"/>
      <w:r>
        <w:rPr>
          <w:rFonts w:asciiTheme="minorHAnsi" w:hAnsiTheme="minorHAnsi" w:cstheme="minorHAnsi"/>
          <w:sz w:val="22"/>
          <w:szCs w:val="22"/>
        </w:rPr>
        <w:t>Reporting &amp; MIS</w:t>
      </w:r>
      <w:bookmarkEnd w:id="87"/>
    </w:p>
    <w:p w:rsidR="0071687D" w:rsidP="0071687D" w:rsidRDefault="0071687D" w14:paraId="58FA2584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71687D" w:rsidR="0071687D" w:rsidP="0071687D" w:rsidRDefault="0071687D" w14:paraId="0F7E1259" w14:textId="77777777">
      <w:pPr>
        <w:rPr>
          <w:lang w:val="en-US"/>
        </w:rPr>
      </w:pPr>
      <w:r>
        <w:rPr>
          <w:lang w:val="en-US"/>
        </w:rPr>
        <w:t>Commentary:</w:t>
      </w:r>
    </w:p>
    <w:p w:rsidR="0071687D" w:rsidP="0071687D" w:rsidRDefault="0071687D" w14:paraId="72928831" w14:textId="77777777">
      <w:pPr>
        <w:pStyle w:val="Heading2"/>
        <w:rPr>
          <w:rFonts w:asciiTheme="minorHAnsi" w:hAnsiTheme="minorHAnsi" w:cstheme="minorHAnsi"/>
          <w:sz w:val="22"/>
          <w:szCs w:val="22"/>
        </w:rPr>
      </w:pPr>
      <w:bookmarkStart w:name="_Toc131022786" w:id="88"/>
      <w:r>
        <w:rPr>
          <w:rFonts w:asciiTheme="minorHAnsi" w:hAnsiTheme="minorHAnsi" w:cstheme="minorHAnsi"/>
          <w:sz w:val="22"/>
          <w:szCs w:val="22"/>
        </w:rPr>
        <w:t>Training, Awareness &amp; Record Keeping</w:t>
      </w:r>
      <w:bookmarkEnd w:id="88"/>
    </w:p>
    <w:p w:rsidR="0071687D" w:rsidP="0071687D" w:rsidRDefault="0071687D" w14:paraId="7A7FB1EA" w14:textId="77777777">
      <w:pPr>
        <w:rPr>
          <w:lang w:val="en-US"/>
        </w:rPr>
      </w:pPr>
      <w:r>
        <w:rPr>
          <w:lang w:val="en-US"/>
        </w:rPr>
        <w:t>Summary Table:</w:t>
      </w:r>
    </w:p>
    <w:p w:rsidRPr="0085795A" w:rsidR="0071687D" w:rsidP="0071687D" w:rsidRDefault="0071687D" w14:paraId="0FD9506D" w14:textId="77777777">
      <w:pPr>
        <w:rPr>
          <w:lang w:val="en-US"/>
        </w:rPr>
      </w:pPr>
      <w:r>
        <w:rPr>
          <w:lang w:val="en-US"/>
        </w:rPr>
        <w:t>Commentary:</w:t>
      </w:r>
    </w:p>
    <w:p w:rsidR="00EB42F8" w:rsidP="00EB42F8" w:rsidRDefault="00EB42F8" w14:paraId="16329D82" w14:textId="5CB28B8D">
      <w:pPr>
        <w:spacing w:before="60" w:after="120"/>
        <w:jc w:val="both"/>
        <w:rPr>
          <w:rFonts w:eastAsiaTheme="majorEastAsia" w:cstheme="minorHAnsi"/>
        </w:rPr>
      </w:pPr>
    </w:p>
    <w:p w:rsidR="002D752F" w:rsidP="00EB42F8" w:rsidRDefault="002D752F" w14:paraId="48A089A6" w14:textId="51CD6E95">
      <w:pPr>
        <w:spacing w:before="60" w:after="120"/>
        <w:jc w:val="both"/>
        <w:rPr>
          <w:rFonts w:eastAsiaTheme="majorEastAsia" w:cstheme="minorHAnsi"/>
        </w:rPr>
      </w:pPr>
    </w:p>
    <w:p w:rsidR="002D752F" w:rsidP="00EB42F8" w:rsidRDefault="002D752F" w14:paraId="51183CB2" w14:textId="29DD4817">
      <w:pPr>
        <w:spacing w:before="60" w:after="120"/>
        <w:jc w:val="both"/>
        <w:rPr>
          <w:rFonts w:eastAsiaTheme="majorEastAsia" w:cstheme="minorHAnsi"/>
        </w:rPr>
      </w:pPr>
    </w:p>
    <w:p w:rsidR="002D752F" w:rsidP="00EB42F8" w:rsidRDefault="002D752F" w14:paraId="6D30C433" w14:textId="02E3BFB5">
      <w:pPr>
        <w:spacing w:before="60" w:after="120"/>
        <w:jc w:val="both"/>
        <w:rPr>
          <w:rFonts w:eastAsiaTheme="majorEastAsia" w:cstheme="minorHAnsi"/>
        </w:rPr>
      </w:pPr>
    </w:p>
    <w:p w:rsidRPr="002D752F" w:rsidR="002D752F" w:rsidP="002D752F" w:rsidRDefault="002D752F" w14:paraId="6CC96C7F" w14:textId="58124BD3">
      <w:pPr>
        <w:pStyle w:val="Heading1"/>
        <w:numPr>
          <w:ilvl w:val="0"/>
          <w:numId w:val="0"/>
        </w:numPr>
        <w:ind w:left="360" w:hanging="360"/>
      </w:pPr>
      <w:bookmarkStart w:name="_Toc131022787" w:id="89"/>
      <w:r>
        <w:t>Appendix 1 – Residual Risk Matrix</w:t>
      </w:r>
      <w:bookmarkEnd w:id="89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53"/>
        <w:gridCol w:w="1854"/>
        <w:gridCol w:w="1854"/>
        <w:gridCol w:w="1854"/>
        <w:gridCol w:w="1854"/>
      </w:tblGrid>
      <w:tr w:rsidR="002D752F" w:rsidTr="00C35935" w14:paraId="1FB3D612" w14:textId="77777777">
        <w:tc>
          <w:tcPr>
            <w:tcW w:w="3707" w:type="dxa"/>
            <w:gridSpan w:val="2"/>
            <w:vMerge w:val="restart"/>
            <w:shd w:val="clear" w:color="auto" w:fill="FFC000"/>
          </w:tcPr>
          <w:p w:rsidRPr="00B20C9C" w:rsidR="002D752F" w:rsidP="00C35935" w:rsidRDefault="002D752F" w14:paraId="5C7BF004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Residual Risk</w:t>
            </w:r>
          </w:p>
        </w:tc>
        <w:tc>
          <w:tcPr>
            <w:tcW w:w="5562" w:type="dxa"/>
            <w:gridSpan w:val="3"/>
            <w:shd w:val="clear" w:color="auto" w:fill="002060"/>
          </w:tcPr>
          <w:p w:rsidRPr="00B20C9C" w:rsidR="002D752F" w:rsidP="00C35935" w:rsidRDefault="002D752F" w14:paraId="19B3BF05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Inherent Risk</w:t>
            </w:r>
          </w:p>
        </w:tc>
      </w:tr>
      <w:tr w:rsidR="002D752F" w:rsidTr="00C35935" w14:paraId="20FFA3B9" w14:textId="77777777">
        <w:tc>
          <w:tcPr>
            <w:tcW w:w="3707" w:type="dxa"/>
            <w:gridSpan w:val="2"/>
            <w:vMerge/>
            <w:shd w:val="clear" w:color="auto" w:fill="FFC000"/>
          </w:tcPr>
          <w:p w:rsidRPr="00B20C9C" w:rsidR="002D752F" w:rsidP="00C35935" w:rsidRDefault="002D752F" w14:paraId="51282D4E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1854" w:type="dxa"/>
            <w:shd w:val="clear" w:color="auto" w:fill="808080" w:themeFill="background1" w:themeFillShade="80"/>
          </w:tcPr>
          <w:p w:rsidRPr="00A740C5" w:rsidR="002D752F" w:rsidP="00C35935" w:rsidRDefault="002D752F" w14:paraId="0D5EEF18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FFFFFF" w:themeColor="background1"/>
                <w:szCs w:val="28"/>
              </w:rPr>
            </w:pPr>
            <w:r w:rsidRPr="00A740C5">
              <w:rPr>
                <w:rFonts w:cstheme="minorHAnsi"/>
                <w:b/>
                <w:bCs/>
                <w:color w:val="FFFFFF" w:themeColor="background1"/>
                <w:szCs w:val="28"/>
              </w:rPr>
              <w:t>High</w:t>
            </w:r>
          </w:p>
        </w:tc>
        <w:tc>
          <w:tcPr>
            <w:tcW w:w="1854" w:type="dxa"/>
            <w:shd w:val="clear" w:color="auto" w:fill="808080" w:themeFill="background1" w:themeFillShade="80"/>
          </w:tcPr>
          <w:p w:rsidRPr="00A740C5" w:rsidR="002D752F" w:rsidP="00C35935" w:rsidRDefault="002D752F" w14:paraId="0E071276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FFFFFF" w:themeColor="background1"/>
                <w:szCs w:val="28"/>
              </w:rPr>
            </w:pPr>
            <w:r w:rsidRPr="00A740C5">
              <w:rPr>
                <w:rFonts w:cstheme="minorHAnsi"/>
                <w:b/>
                <w:bCs/>
                <w:color w:val="FFFFFF" w:themeColor="background1"/>
                <w:szCs w:val="28"/>
              </w:rPr>
              <w:t>Medium</w:t>
            </w:r>
          </w:p>
        </w:tc>
        <w:tc>
          <w:tcPr>
            <w:tcW w:w="1854" w:type="dxa"/>
            <w:shd w:val="clear" w:color="auto" w:fill="808080" w:themeFill="background1" w:themeFillShade="80"/>
          </w:tcPr>
          <w:p w:rsidRPr="00A740C5" w:rsidR="002D752F" w:rsidP="00C35935" w:rsidRDefault="002D752F" w14:paraId="405BE8D2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FFFFFF" w:themeColor="background1"/>
                <w:szCs w:val="28"/>
              </w:rPr>
            </w:pPr>
            <w:r w:rsidRPr="00A740C5">
              <w:rPr>
                <w:rFonts w:cstheme="minorHAnsi"/>
                <w:b/>
                <w:bCs/>
                <w:color w:val="FFFFFF" w:themeColor="background1"/>
                <w:szCs w:val="28"/>
              </w:rPr>
              <w:t>Low</w:t>
            </w:r>
          </w:p>
        </w:tc>
      </w:tr>
      <w:tr w:rsidR="002D752F" w:rsidTr="00C35935" w14:paraId="7B88F93C" w14:textId="77777777">
        <w:tc>
          <w:tcPr>
            <w:tcW w:w="1853" w:type="dxa"/>
            <w:vMerge w:val="restart"/>
            <w:shd w:val="clear" w:color="auto" w:fill="002060"/>
          </w:tcPr>
          <w:p w:rsidRPr="00B20C9C" w:rsidR="002D752F" w:rsidP="00C35935" w:rsidRDefault="002D752F" w14:paraId="0A38A51C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Control Environment</w:t>
            </w:r>
          </w:p>
        </w:tc>
        <w:tc>
          <w:tcPr>
            <w:tcW w:w="1854" w:type="dxa"/>
            <w:shd w:val="clear" w:color="auto" w:fill="808080" w:themeFill="background1" w:themeFillShade="80"/>
          </w:tcPr>
          <w:p w:rsidRPr="00A740C5" w:rsidR="002D752F" w:rsidP="00C35935" w:rsidRDefault="002D752F" w14:paraId="3A22DFCA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FFFFFF" w:themeColor="background1"/>
                <w:szCs w:val="28"/>
              </w:rPr>
            </w:pPr>
            <w:r w:rsidRPr="00A740C5">
              <w:rPr>
                <w:rFonts w:cstheme="minorHAnsi"/>
                <w:b/>
                <w:bCs/>
                <w:color w:val="FFFFFF" w:themeColor="background1"/>
                <w:szCs w:val="28"/>
              </w:rPr>
              <w:t>Adequate</w:t>
            </w:r>
          </w:p>
        </w:tc>
        <w:tc>
          <w:tcPr>
            <w:tcW w:w="1854" w:type="dxa"/>
            <w:shd w:val="clear" w:color="auto" w:fill="FFEB9B"/>
          </w:tcPr>
          <w:p w:rsidRPr="00A740C5" w:rsidR="002D752F" w:rsidP="00C35935" w:rsidRDefault="002D752F" w14:paraId="66F02032" w14:textId="77777777">
            <w:pPr>
              <w:spacing w:before="80" w:after="120" w:line="259" w:lineRule="auto"/>
              <w:jc w:val="center"/>
              <w:rPr>
                <w:rFonts w:ascii="Calibri" w:hAnsi="Calibri" w:cs="Calibri"/>
                <w:b/>
                <w:bCs/>
                <w:color w:val="9C6400"/>
              </w:rPr>
            </w:pPr>
            <w:r w:rsidRPr="00A740C5">
              <w:rPr>
                <w:rFonts w:ascii="Calibri" w:hAnsi="Calibri" w:cs="Calibri"/>
                <w:b/>
                <w:bCs/>
                <w:color w:val="9C6400"/>
              </w:rPr>
              <w:t>Medium</w:t>
            </w:r>
          </w:p>
        </w:tc>
        <w:tc>
          <w:tcPr>
            <w:tcW w:w="1854" w:type="dxa"/>
            <w:shd w:val="clear" w:color="auto" w:fill="FFEB9B"/>
          </w:tcPr>
          <w:p w:rsidRPr="00A740C5" w:rsidR="002D752F" w:rsidP="00C35935" w:rsidRDefault="002D752F" w14:paraId="251019DF" w14:textId="77777777">
            <w:pPr>
              <w:spacing w:before="80" w:after="120" w:line="259" w:lineRule="auto"/>
              <w:jc w:val="center"/>
              <w:rPr>
                <w:rFonts w:ascii="Calibri" w:hAnsi="Calibri" w:cs="Calibri"/>
                <w:b/>
                <w:bCs/>
                <w:color w:val="9C6400"/>
              </w:rPr>
            </w:pPr>
            <w:r w:rsidRPr="00A740C5">
              <w:rPr>
                <w:rFonts w:ascii="Calibri" w:hAnsi="Calibri" w:cs="Calibri"/>
                <w:b/>
                <w:bCs/>
                <w:color w:val="9C6400"/>
              </w:rPr>
              <w:t>Medium</w:t>
            </w:r>
          </w:p>
        </w:tc>
        <w:tc>
          <w:tcPr>
            <w:tcW w:w="1854" w:type="dxa"/>
            <w:shd w:val="clear" w:color="auto" w:fill="C5EECE"/>
          </w:tcPr>
          <w:p w:rsidRPr="00A740C5" w:rsidR="002D752F" w:rsidP="00C35935" w:rsidRDefault="002D752F" w14:paraId="75BD5594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006000"/>
                <w:szCs w:val="28"/>
              </w:rPr>
            </w:pPr>
            <w:r w:rsidRPr="00A740C5">
              <w:rPr>
                <w:rFonts w:cstheme="minorHAnsi"/>
                <w:b/>
                <w:bCs/>
                <w:color w:val="006000"/>
                <w:szCs w:val="28"/>
              </w:rPr>
              <w:t>Low</w:t>
            </w:r>
          </w:p>
        </w:tc>
      </w:tr>
      <w:tr w:rsidR="002D752F" w:rsidTr="00C35935" w14:paraId="60BF4BD1" w14:textId="77777777">
        <w:tc>
          <w:tcPr>
            <w:tcW w:w="1853" w:type="dxa"/>
            <w:vMerge/>
            <w:shd w:val="clear" w:color="auto" w:fill="002060"/>
          </w:tcPr>
          <w:p w:rsidRPr="00B20C9C" w:rsidR="002D752F" w:rsidP="00C35935" w:rsidRDefault="002D752F" w14:paraId="50CE7758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1854" w:type="dxa"/>
            <w:shd w:val="clear" w:color="auto" w:fill="808080" w:themeFill="background1" w:themeFillShade="80"/>
          </w:tcPr>
          <w:p w:rsidRPr="00A740C5" w:rsidR="002D752F" w:rsidP="00C35935" w:rsidRDefault="002D752F" w14:paraId="1BC55140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FFFFFF" w:themeColor="background1"/>
                <w:szCs w:val="28"/>
              </w:rPr>
            </w:pPr>
            <w:r w:rsidRPr="00A740C5">
              <w:rPr>
                <w:rFonts w:cstheme="minorHAnsi"/>
                <w:b/>
                <w:bCs/>
                <w:color w:val="FFFFFF" w:themeColor="background1"/>
                <w:szCs w:val="28"/>
              </w:rPr>
              <w:t>Needs Improvement</w:t>
            </w:r>
          </w:p>
        </w:tc>
        <w:tc>
          <w:tcPr>
            <w:tcW w:w="1854" w:type="dxa"/>
            <w:shd w:val="clear" w:color="auto" w:fill="FFC6CE"/>
          </w:tcPr>
          <w:p w:rsidRPr="00A740C5" w:rsidR="002D752F" w:rsidP="00C35935" w:rsidRDefault="002D752F" w14:paraId="7BCAB566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C00000"/>
                <w:szCs w:val="28"/>
              </w:rPr>
            </w:pPr>
            <w:r w:rsidRPr="00A740C5">
              <w:rPr>
                <w:rFonts w:cstheme="minorHAnsi"/>
                <w:b/>
                <w:bCs/>
                <w:color w:val="C00000"/>
                <w:szCs w:val="28"/>
              </w:rPr>
              <w:t>High</w:t>
            </w:r>
          </w:p>
        </w:tc>
        <w:tc>
          <w:tcPr>
            <w:tcW w:w="1854" w:type="dxa"/>
            <w:shd w:val="clear" w:color="auto" w:fill="FFEB9B"/>
          </w:tcPr>
          <w:p w:rsidRPr="00A740C5" w:rsidR="002D752F" w:rsidP="00C35935" w:rsidRDefault="002D752F" w14:paraId="2A9E1041" w14:textId="77777777">
            <w:pPr>
              <w:spacing w:before="80" w:after="120" w:line="259" w:lineRule="auto"/>
              <w:jc w:val="center"/>
              <w:rPr>
                <w:rFonts w:ascii="Calibri" w:hAnsi="Calibri" w:cs="Calibri"/>
                <w:b/>
                <w:bCs/>
                <w:color w:val="9C6400"/>
              </w:rPr>
            </w:pPr>
            <w:r w:rsidRPr="00A740C5">
              <w:rPr>
                <w:rFonts w:ascii="Calibri" w:hAnsi="Calibri" w:cs="Calibri"/>
                <w:b/>
                <w:bCs/>
                <w:color w:val="9C6400"/>
              </w:rPr>
              <w:t>Medium</w:t>
            </w:r>
          </w:p>
        </w:tc>
        <w:tc>
          <w:tcPr>
            <w:tcW w:w="1854" w:type="dxa"/>
            <w:shd w:val="clear" w:color="auto" w:fill="C5EECE"/>
          </w:tcPr>
          <w:p w:rsidRPr="00A740C5" w:rsidR="002D752F" w:rsidP="00C35935" w:rsidRDefault="002D752F" w14:paraId="0CE24D61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006000"/>
                <w:szCs w:val="28"/>
              </w:rPr>
            </w:pPr>
            <w:r w:rsidRPr="00A740C5">
              <w:rPr>
                <w:rFonts w:cstheme="minorHAnsi"/>
                <w:b/>
                <w:bCs/>
                <w:color w:val="006000"/>
                <w:szCs w:val="28"/>
              </w:rPr>
              <w:t>Low</w:t>
            </w:r>
          </w:p>
        </w:tc>
      </w:tr>
      <w:tr w:rsidR="002D752F" w:rsidTr="00C35935" w14:paraId="0B2064AF" w14:textId="77777777">
        <w:tc>
          <w:tcPr>
            <w:tcW w:w="1853" w:type="dxa"/>
            <w:vMerge/>
            <w:shd w:val="clear" w:color="auto" w:fill="002060"/>
          </w:tcPr>
          <w:p w:rsidRPr="00B20C9C" w:rsidR="002D752F" w:rsidP="00C35935" w:rsidRDefault="002D752F" w14:paraId="25CC7901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1854" w:type="dxa"/>
            <w:shd w:val="clear" w:color="auto" w:fill="808080" w:themeFill="background1" w:themeFillShade="80"/>
          </w:tcPr>
          <w:p w:rsidRPr="00A740C5" w:rsidR="002D752F" w:rsidP="00C35935" w:rsidRDefault="002D752F" w14:paraId="304ADA4E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FFFFFF" w:themeColor="background1"/>
                <w:szCs w:val="28"/>
              </w:rPr>
            </w:pPr>
            <w:r w:rsidRPr="00A740C5">
              <w:rPr>
                <w:rFonts w:cstheme="minorHAnsi"/>
                <w:b/>
                <w:bCs/>
                <w:color w:val="FFFFFF" w:themeColor="background1"/>
                <w:szCs w:val="28"/>
              </w:rPr>
              <w:t>Weak</w:t>
            </w:r>
          </w:p>
        </w:tc>
        <w:tc>
          <w:tcPr>
            <w:tcW w:w="1854" w:type="dxa"/>
            <w:shd w:val="clear" w:color="auto" w:fill="FFC6CE"/>
          </w:tcPr>
          <w:p w:rsidRPr="00A740C5" w:rsidR="002D752F" w:rsidP="00C35935" w:rsidRDefault="002D752F" w14:paraId="42A5ABFE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color w:val="C00000"/>
                <w:szCs w:val="28"/>
              </w:rPr>
            </w:pPr>
            <w:r w:rsidRPr="00A740C5">
              <w:rPr>
                <w:rFonts w:cstheme="minorHAnsi"/>
                <w:b/>
                <w:bCs/>
                <w:color w:val="C00000"/>
                <w:szCs w:val="28"/>
              </w:rPr>
              <w:t>High</w:t>
            </w:r>
          </w:p>
        </w:tc>
        <w:tc>
          <w:tcPr>
            <w:tcW w:w="1854" w:type="dxa"/>
            <w:shd w:val="clear" w:color="auto" w:fill="FFC6CE"/>
          </w:tcPr>
          <w:p w:rsidRPr="00B20C9C" w:rsidR="002D752F" w:rsidP="00C35935" w:rsidRDefault="002D752F" w14:paraId="68C3F7F4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  <w:r w:rsidRPr="00A740C5">
              <w:rPr>
                <w:rFonts w:cstheme="minorHAnsi"/>
                <w:b/>
                <w:bCs/>
                <w:color w:val="C00000"/>
                <w:szCs w:val="28"/>
              </w:rPr>
              <w:t>High</w:t>
            </w:r>
          </w:p>
        </w:tc>
        <w:tc>
          <w:tcPr>
            <w:tcW w:w="1854" w:type="dxa"/>
            <w:shd w:val="clear" w:color="auto" w:fill="FFEB9B"/>
          </w:tcPr>
          <w:p w:rsidRPr="00B20C9C" w:rsidR="002D752F" w:rsidP="00C35935" w:rsidRDefault="002D752F" w14:paraId="410C2CD3" w14:textId="77777777">
            <w:pPr>
              <w:spacing w:before="80" w:after="120" w:line="259" w:lineRule="auto"/>
              <w:jc w:val="center"/>
              <w:rPr>
                <w:rFonts w:cstheme="minorHAnsi"/>
                <w:b/>
                <w:bCs/>
                <w:szCs w:val="28"/>
              </w:rPr>
            </w:pPr>
            <w:r w:rsidRPr="00A740C5">
              <w:rPr>
                <w:rFonts w:ascii="Calibri" w:hAnsi="Calibri" w:cs="Calibri"/>
                <w:b/>
                <w:bCs/>
                <w:color w:val="9C6400"/>
              </w:rPr>
              <w:t>Medium</w:t>
            </w:r>
          </w:p>
        </w:tc>
      </w:tr>
    </w:tbl>
    <w:p w:rsidR="002D752F" w:rsidP="00EB42F8" w:rsidRDefault="002D752F" w14:paraId="657BE137" w14:textId="349902FE">
      <w:pPr>
        <w:spacing w:before="60" w:after="120"/>
        <w:jc w:val="both"/>
        <w:rPr>
          <w:rFonts w:eastAsiaTheme="majorEastAsia" w:cstheme="minorHAnsi"/>
        </w:rPr>
      </w:pPr>
    </w:p>
    <w:sectPr w:rsidR="002D752F" w:rsidSect="00A50864">
      <w:headerReference w:type="default" r:id="rId8"/>
      <w:footerReference w:type="default" r:id="rId9"/>
      <w:pgSz w:w="11906" w:h="16838"/>
      <w:pgMar w:top="1440" w:right="1080" w:bottom="1440" w:left="10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181FC" w14:textId="77777777" w:rsidR="00F67DF4" w:rsidRDefault="00F67DF4" w:rsidP="00B47A44">
      <w:pPr>
        <w:spacing w:after="0" w:line="240" w:lineRule="auto"/>
      </w:pPr>
      <w:r>
        <w:separator/>
      </w:r>
    </w:p>
  </w:endnote>
  <w:endnote w:type="continuationSeparator" w:id="0">
    <w:p w14:paraId="1645139E" w14:textId="77777777" w:rsidR="00F67DF4" w:rsidRDefault="00F67DF4" w:rsidP="00B4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6553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F4FDA" w14:textId="21FB6480" w:rsidR="009D2901" w:rsidRDefault="009D29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A3736E" w14:textId="18FFA87C" w:rsidR="00BB0DE1" w:rsidRDefault="00BB0DE1" w:rsidP="009D2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E846E" w14:textId="77777777" w:rsidR="00F67DF4" w:rsidRDefault="00F67DF4" w:rsidP="00B47A44">
      <w:pPr>
        <w:spacing w:after="0" w:line="240" w:lineRule="auto"/>
      </w:pPr>
      <w:r>
        <w:separator/>
      </w:r>
    </w:p>
  </w:footnote>
  <w:footnote w:type="continuationSeparator" w:id="0">
    <w:p w14:paraId="0B68C69D" w14:textId="77777777" w:rsidR="00F67DF4" w:rsidRDefault="00F67DF4" w:rsidP="00B47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20E7" w14:textId="6137A349" w:rsidR="00B47A44" w:rsidRDefault="00B47A44">
    <w:pPr>
      <w:pStyle w:val="Header"/>
    </w:pPr>
    <w:r>
      <w:t>Financial Crime Risk Assessment (FCRA) Report</w:t>
    </w:r>
  </w:p>
  <w:p w14:paraId="6C9C4ECB" w14:textId="5F7A7538" w:rsidR="00B47A44" w:rsidRDefault="000D64CB">
    <w:pPr>
      <w:pStyle w:val="Header"/>
    </w:pPr>
    <w:r>
      <w:t>MM/YY</w:t>
    </w:r>
    <w:r w:rsidR="00B47A44" w:rsidRPr="00B47A44">
      <w:t xml:space="preserve"> </w:t>
    </w:r>
    <w:r>
      <w:t>–</w:t>
    </w:r>
    <w:r w:rsidR="00B47A44">
      <w:t xml:space="preserve"> </w:t>
    </w:r>
    <w:r>
      <w:t>MM/YY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D03"/>
    <w:multiLevelType w:val="hybridMultilevel"/>
    <w:tmpl w:val="E0A6BC6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2F56"/>
    <w:multiLevelType w:val="hybridMultilevel"/>
    <w:tmpl w:val="5C1286B8"/>
    <w:lvl w:ilvl="0" w:tplc="492481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73859"/>
    <w:multiLevelType w:val="hybridMultilevel"/>
    <w:tmpl w:val="D4EC08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1B1F28"/>
    <w:multiLevelType w:val="hybridMultilevel"/>
    <w:tmpl w:val="F50672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D34F22"/>
    <w:multiLevelType w:val="hybridMultilevel"/>
    <w:tmpl w:val="20688B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D46650"/>
    <w:multiLevelType w:val="hybridMultilevel"/>
    <w:tmpl w:val="E196C21A"/>
    <w:lvl w:ilvl="0" w:tplc="679C6D34">
      <w:start w:val="1"/>
      <w:numFmt w:val="bullet"/>
      <w:pStyle w:val="Bullets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2300D"/>
    <w:multiLevelType w:val="hybridMultilevel"/>
    <w:tmpl w:val="4DCE4AA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01FEB"/>
    <w:multiLevelType w:val="hybridMultilevel"/>
    <w:tmpl w:val="42DE8F14"/>
    <w:lvl w:ilvl="0" w:tplc="B860E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12155"/>
    <w:multiLevelType w:val="hybridMultilevel"/>
    <w:tmpl w:val="D7D0EBDE"/>
    <w:lvl w:ilvl="0" w:tplc="69CA04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C1C49"/>
    <w:multiLevelType w:val="hybridMultilevel"/>
    <w:tmpl w:val="B7F23C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11E55"/>
    <w:multiLevelType w:val="hybridMultilevel"/>
    <w:tmpl w:val="9E7CA8F8"/>
    <w:lvl w:ilvl="0" w:tplc="95F20D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31B92"/>
    <w:multiLevelType w:val="hybridMultilevel"/>
    <w:tmpl w:val="B8A6471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D7938"/>
    <w:multiLevelType w:val="hybridMultilevel"/>
    <w:tmpl w:val="49AA72DE"/>
    <w:lvl w:ilvl="0" w:tplc="1486B4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E5D42"/>
    <w:multiLevelType w:val="hybridMultilevel"/>
    <w:tmpl w:val="0DD0537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36E6DED"/>
    <w:multiLevelType w:val="hybridMultilevel"/>
    <w:tmpl w:val="ECC28F2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6073DD"/>
    <w:multiLevelType w:val="hybridMultilevel"/>
    <w:tmpl w:val="5AAAB91A"/>
    <w:lvl w:ilvl="0" w:tplc="0096B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3381C"/>
    <w:multiLevelType w:val="hybridMultilevel"/>
    <w:tmpl w:val="6F70AC4E"/>
    <w:lvl w:ilvl="0" w:tplc="2D6CD1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4505A"/>
    <w:multiLevelType w:val="hybridMultilevel"/>
    <w:tmpl w:val="885EF35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711A4"/>
    <w:multiLevelType w:val="hybridMultilevel"/>
    <w:tmpl w:val="C29EE2D0"/>
    <w:lvl w:ilvl="0" w:tplc="939093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C476D"/>
    <w:multiLevelType w:val="hybridMultilevel"/>
    <w:tmpl w:val="E8BAB294"/>
    <w:lvl w:ilvl="0" w:tplc="D916D7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D519F"/>
    <w:multiLevelType w:val="hybridMultilevel"/>
    <w:tmpl w:val="EA7AED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0C0E1A"/>
    <w:multiLevelType w:val="hybridMultilevel"/>
    <w:tmpl w:val="3ADC62D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F2277CE">
      <w:start w:val="2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53311"/>
    <w:multiLevelType w:val="hybridMultilevel"/>
    <w:tmpl w:val="88F219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5B06ED"/>
    <w:multiLevelType w:val="hybridMultilevel"/>
    <w:tmpl w:val="C038B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23CA2"/>
    <w:multiLevelType w:val="hybridMultilevel"/>
    <w:tmpl w:val="410E2E5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9529B9"/>
    <w:multiLevelType w:val="hybridMultilevel"/>
    <w:tmpl w:val="C7CEAC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5335F8"/>
    <w:multiLevelType w:val="hybridMultilevel"/>
    <w:tmpl w:val="57889012"/>
    <w:lvl w:ilvl="0" w:tplc="990E50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F472BB"/>
    <w:multiLevelType w:val="hybridMultilevel"/>
    <w:tmpl w:val="8AA2E3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B28A6"/>
    <w:multiLevelType w:val="hybridMultilevel"/>
    <w:tmpl w:val="20D61BC2"/>
    <w:lvl w:ilvl="0" w:tplc="0D34EC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C7A25"/>
    <w:multiLevelType w:val="hybridMultilevel"/>
    <w:tmpl w:val="3DD2F882"/>
    <w:lvl w:ilvl="0" w:tplc="85E422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A23B50"/>
    <w:multiLevelType w:val="hybridMultilevel"/>
    <w:tmpl w:val="3FD640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12022B"/>
    <w:multiLevelType w:val="hybridMultilevel"/>
    <w:tmpl w:val="D12AEC36"/>
    <w:lvl w:ilvl="0" w:tplc="FFFFFFFF">
      <w:start w:val="1"/>
      <w:numFmt w:val="bullet"/>
      <w:pStyle w:val="Title1"/>
      <w:lvlText w:val="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auto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2316E2"/>
    <w:multiLevelType w:val="hybridMultilevel"/>
    <w:tmpl w:val="2BE6607E"/>
    <w:lvl w:ilvl="0" w:tplc="4FC6D4F6">
      <w:start w:val="2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E2488"/>
    <w:multiLevelType w:val="multilevel"/>
    <w:tmpl w:val="26747AE0"/>
    <w:lvl w:ilvl="0">
      <w:start w:val="1"/>
      <w:numFmt w:val="decimal"/>
      <w:pStyle w:val="Vinay"/>
      <w:lvlText w:val="%1"/>
      <w:lvlJc w:val="left"/>
      <w:pPr>
        <w:ind w:left="432" w:hanging="432"/>
      </w:pPr>
      <w:rPr>
        <w:rFonts w:hint="default"/>
        <w:b/>
        <w:color w:val="auto"/>
      </w:rPr>
    </w:lvl>
    <w:lvl w:ilvl="1">
      <w:start w:val="1"/>
      <w:numFmt w:val="decimal"/>
      <w:lvlText w:val="%2.1"/>
      <w:lvlJc w:val="left"/>
      <w:pPr>
        <w:ind w:left="936" w:hanging="576"/>
      </w:pPr>
      <w:rPr>
        <w:rFonts w:hint="default"/>
        <w:b/>
        <w:strike w:val="0"/>
        <w:color w:val="auto"/>
        <w:sz w:val="18"/>
        <w:szCs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FF000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5C76A45"/>
    <w:multiLevelType w:val="hybridMultilevel"/>
    <w:tmpl w:val="73503D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B071C"/>
    <w:multiLevelType w:val="hybridMultilevel"/>
    <w:tmpl w:val="D66CAD28"/>
    <w:lvl w:ilvl="0" w:tplc="31722F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180733"/>
    <w:multiLevelType w:val="hybridMultilevel"/>
    <w:tmpl w:val="C40C813E"/>
    <w:lvl w:ilvl="0" w:tplc="43AEB8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F4B9C"/>
    <w:multiLevelType w:val="hybridMultilevel"/>
    <w:tmpl w:val="DE5E6E18"/>
    <w:lvl w:ilvl="0" w:tplc="9822D2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75357D"/>
    <w:multiLevelType w:val="hybridMultilevel"/>
    <w:tmpl w:val="51967AA0"/>
    <w:lvl w:ilvl="0" w:tplc="6388BB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8B2F87"/>
    <w:multiLevelType w:val="hybridMultilevel"/>
    <w:tmpl w:val="20ACAE32"/>
    <w:lvl w:ilvl="0" w:tplc="64F0E7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D015A"/>
    <w:multiLevelType w:val="hybridMultilevel"/>
    <w:tmpl w:val="F4C4C1E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C332F5"/>
    <w:multiLevelType w:val="hybridMultilevel"/>
    <w:tmpl w:val="5C28CB88"/>
    <w:lvl w:ilvl="0" w:tplc="D7905F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AF7BE1"/>
    <w:multiLevelType w:val="hybridMultilevel"/>
    <w:tmpl w:val="20688BA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891130"/>
    <w:multiLevelType w:val="multilevel"/>
    <w:tmpl w:val="42B81868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71AC2BAC"/>
    <w:multiLevelType w:val="hybridMultilevel"/>
    <w:tmpl w:val="21EA5CC8"/>
    <w:lvl w:ilvl="0" w:tplc="AF6C3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C501A5"/>
    <w:multiLevelType w:val="hybridMultilevel"/>
    <w:tmpl w:val="9EFA8AB0"/>
    <w:lvl w:ilvl="0" w:tplc="B71094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7F4E05"/>
    <w:multiLevelType w:val="multilevel"/>
    <w:tmpl w:val="4A9497B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bCs w:val="0"/>
        <w:sz w:val="24"/>
        <w:szCs w:val="24"/>
      </w:rPr>
    </w:lvl>
    <w:lvl w:ilvl="1">
      <w:start w:val="1"/>
      <w:numFmt w:val="decimal"/>
      <w:pStyle w:val="Heading2"/>
      <w:isLgl/>
      <w:lvlText w:val="%1.%2"/>
      <w:lvlJc w:val="left"/>
      <w:pPr>
        <w:ind w:left="390" w:hanging="390"/>
      </w:pPr>
      <w:rPr>
        <w:rFonts w:hint="default"/>
        <w:b/>
        <w:bCs w:val="0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  <w:color w:val="auto"/>
        <w:sz w:val="22"/>
        <w:szCs w:val="22"/>
      </w:rPr>
    </w:lvl>
    <w:lvl w:ilvl="3">
      <w:start w:val="1"/>
      <w:numFmt w:val="decimal"/>
      <w:pStyle w:val="Heading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41437137">
    <w:abstractNumId w:val="46"/>
  </w:num>
  <w:num w:numId="2" w16cid:durableId="768350242">
    <w:abstractNumId w:val="31"/>
  </w:num>
  <w:num w:numId="3" w16cid:durableId="473108301">
    <w:abstractNumId w:val="5"/>
  </w:num>
  <w:num w:numId="4" w16cid:durableId="300236794">
    <w:abstractNumId w:val="11"/>
  </w:num>
  <w:num w:numId="5" w16cid:durableId="505948196">
    <w:abstractNumId w:val="12"/>
  </w:num>
  <w:num w:numId="6" w16cid:durableId="337927587">
    <w:abstractNumId w:val="8"/>
  </w:num>
  <w:num w:numId="7" w16cid:durableId="1660040944">
    <w:abstractNumId w:val="33"/>
  </w:num>
  <w:num w:numId="8" w16cid:durableId="2107923051">
    <w:abstractNumId w:val="43"/>
    <w:lvlOverride w:ilvl="0">
      <w:lvl w:ilvl="0">
        <w:start w:val="1"/>
        <w:numFmt w:val="decimal"/>
        <w:lvlText w:val="%1"/>
        <w:lvlJc w:val="left"/>
        <w:pPr>
          <w:ind w:left="431" w:hanging="431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  <w:b/>
          <w:bCs w:val="0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44" w:hanging="864"/>
        </w:pPr>
        <w:rPr>
          <w:rFonts w:hint="default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 w16cid:durableId="670328454">
    <w:abstractNumId w:val="21"/>
  </w:num>
  <w:num w:numId="10" w16cid:durableId="915019843">
    <w:abstractNumId w:val="39"/>
  </w:num>
  <w:num w:numId="11" w16cid:durableId="1188831363">
    <w:abstractNumId w:val="45"/>
  </w:num>
  <w:num w:numId="12" w16cid:durableId="1659462215">
    <w:abstractNumId w:val="10"/>
  </w:num>
  <w:num w:numId="13" w16cid:durableId="1959334407">
    <w:abstractNumId w:val="26"/>
  </w:num>
  <w:num w:numId="14" w16cid:durableId="1223323706">
    <w:abstractNumId w:val="24"/>
  </w:num>
  <w:num w:numId="15" w16cid:durableId="1276865569">
    <w:abstractNumId w:val="2"/>
  </w:num>
  <w:num w:numId="16" w16cid:durableId="1993752103">
    <w:abstractNumId w:val="13"/>
  </w:num>
  <w:num w:numId="17" w16cid:durableId="1714885450">
    <w:abstractNumId w:val="16"/>
  </w:num>
  <w:num w:numId="18" w16cid:durableId="1490250511">
    <w:abstractNumId w:val="36"/>
  </w:num>
  <w:num w:numId="19" w16cid:durableId="208653717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38725778">
    <w:abstractNumId w:val="7"/>
  </w:num>
  <w:num w:numId="21" w16cid:durableId="621501971">
    <w:abstractNumId w:val="34"/>
  </w:num>
  <w:num w:numId="22" w16cid:durableId="1537035733">
    <w:abstractNumId w:val="17"/>
  </w:num>
  <w:num w:numId="23" w16cid:durableId="1553693174">
    <w:abstractNumId w:val="19"/>
  </w:num>
  <w:num w:numId="24" w16cid:durableId="1697806255">
    <w:abstractNumId w:val="29"/>
  </w:num>
  <w:num w:numId="25" w16cid:durableId="346490739">
    <w:abstractNumId w:val="38"/>
  </w:num>
  <w:num w:numId="26" w16cid:durableId="1228032424">
    <w:abstractNumId w:val="37"/>
  </w:num>
  <w:num w:numId="27" w16cid:durableId="581574343">
    <w:abstractNumId w:val="41"/>
  </w:num>
  <w:num w:numId="28" w16cid:durableId="1849368672">
    <w:abstractNumId w:val="20"/>
  </w:num>
  <w:num w:numId="29" w16cid:durableId="1737582650">
    <w:abstractNumId w:val="28"/>
  </w:num>
  <w:num w:numId="30" w16cid:durableId="930164323">
    <w:abstractNumId w:val="22"/>
  </w:num>
  <w:num w:numId="31" w16cid:durableId="2088304991">
    <w:abstractNumId w:val="27"/>
  </w:num>
  <w:num w:numId="32" w16cid:durableId="2118209838">
    <w:abstractNumId w:val="14"/>
  </w:num>
  <w:num w:numId="33" w16cid:durableId="298651798">
    <w:abstractNumId w:val="0"/>
  </w:num>
  <w:num w:numId="34" w16cid:durableId="1593271846">
    <w:abstractNumId w:val="6"/>
  </w:num>
  <w:num w:numId="35" w16cid:durableId="1504735416">
    <w:abstractNumId w:val="4"/>
  </w:num>
  <w:num w:numId="36" w16cid:durableId="1182888921">
    <w:abstractNumId w:val="42"/>
  </w:num>
  <w:num w:numId="37" w16cid:durableId="156467731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10845727">
    <w:abstractNumId w:val="40"/>
  </w:num>
  <w:num w:numId="39" w16cid:durableId="534199948">
    <w:abstractNumId w:val="30"/>
  </w:num>
  <w:num w:numId="40" w16cid:durableId="1273826175">
    <w:abstractNumId w:val="18"/>
  </w:num>
  <w:num w:numId="41" w16cid:durableId="1677537821">
    <w:abstractNumId w:val="25"/>
  </w:num>
  <w:num w:numId="42" w16cid:durableId="654064486">
    <w:abstractNumId w:val="3"/>
  </w:num>
  <w:num w:numId="43" w16cid:durableId="1782919501">
    <w:abstractNumId w:val="9"/>
  </w:num>
  <w:num w:numId="44" w16cid:durableId="1595238461">
    <w:abstractNumId w:val="23"/>
  </w:num>
  <w:num w:numId="45" w16cid:durableId="1195077752">
    <w:abstractNumId w:val="1"/>
  </w:num>
  <w:num w:numId="46" w16cid:durableId="1904482015">
    <w:abstractNumId w:val="15"/>
  </w:num>
  <w:num w:numId="47" w16cid:durableId="821197508">
    <w:abstractNumId w:val="44"/>
  </w:num>
  <w:num w:numId="48" w16cid:durableId="87891411">
    <w:abstractNumId w:val="35"/>
  </w:num>
  <w:num w:numId="49" w16cid:durableId="1729373945">
    <w:abstractNumId w:val="3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44"/>
    <w:rsid w:val="00000DB3"/>
    <w:rsid w:val="00000EE3"/>
    <w:rsid w:val="000030B5"/>
    <w:rsid w:val="00016EEC"/>
    <w:rsid w:val="00023C00"/>
    <w:rsid w:val="000348A8"/>
    <w:rsid w:val="00045EE1"/>
    <w:rsid w:val="00054286"/>
    <w:rsid w:val="0007443C"/>
    <w:rsid w:val="00094273"/>
    <w:rsid w:val="000951DB"/>
    <w:rsid w:val="000B1044"/>
    <w:rsid w:val="000B1CE5"/>
    <w:rsid w:val="000B420F"/>
    <w:rsid w:val="000D64CB"/>
    <w:rsid w:val="000E1FA2"/>
    <w:rsid w:val="000E7D6E"/>
    <w:rsid w:val="00103429"/>
    <w:rsid w:val="00113259"/>
    <w:rsid w:val="00132EA9"/>
    <w:rsid w:val="00142A58"/>
    <w:rsid w:val="00164A61"/>
    <w:rsid w:val="0017174D"/>
    <w:rsid w:val="00173710"/>
    <w:rsid w:val="0018151E"/>
    <w:rsid w:val="00181A95"/>
    <w:rsid w:val="0019110A"/>
    <w:rsid w:val="00197C2E"/>
    <w:rsid w:val="001B202C"/>
    <w:rsid w:val="001B4419"/>
    <w:rsid w:val="001D1127"/>
    <w:rsid w:val="001D7015"/>
    <w:rsid w:val="001E1BE5"/>
    <w:rsid w:val="001F62F9"/>
    <w:rsid w:val="0020579B"/>
    <w:rsid w:val="00210AC9"/>
    <w:rsid w:val="00211BE2"/>
    <w:rsid w:val="00212406"/>
    <w:rsid w:val="002125B3"/>
    <w:rsid w:val="0021583A"/>
    <w:rsid w:val="00215E87"/>
    <w:rsid w:val="00230AFD"/>
    <w:rsid w:val="00242FE7"/>
    <w:rsid w:val="0025520B"/>
    <w:rsid w:val="00260CFB"/>
    <w:rsid w:val="00265ABB"/>
    <w:rsid w:val="00271DE1"/>
    <w:rsid w:val="00293F17"/>
    <w:rsid w:val="002A757B"/>
    <w:rsid w:val="002B5B15"/>
    <w:rsid w:val="002C71F9"/>
    <w:rsid w:val="002D2327"/>
    <w:rsid w:val="002D4897"/>
    <w:rsid w:val="002D752F"/>
    <w:rsid w:val="002F549B"/>
    <w:rsid w:val="002F6A29"/>
    <w:rsid w:val="0033368E"/>
    <w:rsid w:val="0034311E"/>
    <w:rsid w:val="00397656"/>
    <w:rsid w:val="003C2A36"/>
    <w:rsid w:val="003E3F5E"/>
    <w:rsid w:val="003F0C70"/>
    <w:rsid w:val="00416894"/>
    <w:rsid w:val="00423250"/>
    <w:rsid w:val="0044147C"/>
    <w:rsid w:val="00443DEA"/>
    <w:rsid w:val="004620AA"/>
    <w:rsid w:val="00487EBF"/>
    <w:rsid w:val="004E00A8"/>
    <w:rsid w:val="004F0CED"/>
    <w:rsid w:val="0051619C"/>
    <w:rsid w:val="00523E02"/>
    <w:rsid w:val="00532E4F"/>
    <w:rsid w:val="005400D0"/>
    <w:rsid w:val="005411B4"/>
    <w:rsid w:val="00545F0F"/>
    <w:rsid w:val="00545F92"/>
    <w:rsid w:val="005672F9"/>
    <w:rsid w:val="005733BA"/>
    <w:rsid w:val="005769D1"/>
    <w:rsid w:val="005903D2"/>
    <w:rsid w:val="0059585B"/>
    <w:rsid w:val="005A7FAA"/>
    <w:rsid w:val="005C1404"/>
    <w:rsid w:val="005C2B2D"/>
    <w:rsid w:val="005C55AF"/>
    <w:rsid w:val="005C75A4"/>
    <w:rsid w:val="005D3B56"/>
    <w:rsid w:val="005E5F27"/>
    <w:rsid w:val="0060279C"/>
    <w:rsid w:val="006562E1"/>
    <w:rsid w:val="00661940"/>
    <w:rsid w:val="0068118D"/>
    <w:rsid w:val="00683CB3"/>
    <w:rsid w:val="00693DDB"/>
    <w:rsid w:val="0069716C"/>
    <w:rsid w:val="006A4964"/>
    <w:rsid w:val="006B14D7"/>
    <w:rsid w:val="006B47DA"/>
    <w:rsid w:val="006E57E9"/>
    <w:rsid w:val="006E5C13"/>
    <w:rsid w:val="006E728A"/>
    <w:rsid w:val="00704B7F"/>
    <w:rsid w:val="007125FB"/>
    <w:rsid w:val="00713169"/>
    <w:rsid w:val="0071687D"/>
    <w:rsid w:val="0072162A"/>
    <w:rsid w:val="00721AC9"/>
    <w:rsid w:val="00721BBD"/>
    <w:rsid w:val="00732520"/>
    <w:rsid w:val="007442D2"/>
    <w:rsid w:val="0075045E"/>
    <w:rsid w:val="00753C86"/>
    <w:rsid w:val="007635D2"/>
    <w:rsid w:val="0077257C"/>
    <w:rsid w:val="00781AAF"/>
    <w:rsid w:val="0078618D"/>
    <w:rsid w:val="007A0D0D"/>
    <w:rsid w:val="007A3587"/>
    <w:rsid w:val="007A677A"/>
    <w:rsid w:val="007B2C41"/>
    <w:rsid w:val="007B59CC"/>
    <w:rsid w:val="007F0305"/>
    <w:rsid w:val="007F6C9E"/>
    <w:rsid w:val="008040D4"/>
    <w:rsid w:val="008220FF"/>
    <w:rsid w:val="00824F5C"/>
    <w:rsid w:val="008469CA"/>
    <w:rsid w:val="008475FA"/>
    <w:rsid w:val="0085795A"/>
    <w:rsid w:val="00875BC9"/>
    <w:rsid w:val="0089044B"/>
    <w:rsid w:val="008936B3"/>
    <w:rsid w:val="0089427C"/>
    <w:rsid w:val="00894881"/>
    <w:rsid w:val="008B5AFA"/>
    <w:rsid w:val="009159C9"/>
    <w:rsid w:val="009419DD"/>
    <w:rsid w:val="00957DE7"/>
    <w:rsid w:val="00976ECD"/>
    <w:rsid w:val="00977B59"/>
    <w:rsid w:val="0098138F"/>
    <w:rsid w:val="00985D5A"/>
    <w:rsid w:val="00990DF0"/>
    <w:rsid w:val="009955C7"/>
    <w:rsid w:val="00997AFF"/>
    <w:rsid w:val="009A0493"/>
    <w:rsid w:val="009B47A8"/>
    <w:rsid w:val="009D05F8"/>
    <w:rsid w:val="009D23BE"/>
    <w:rsid w:val="009D2901"/>
    <w:rsid w:val="009F2B32"/>
    <w:rsid w:val="00A106ED"/>
    <w:rsid w:val="00A16476"/>
    <w:rsid w:val="00A201A9"/>
    <w:rsid w:val="00A3188D"/>
    <w:rsid w:val="00A33AA5"/>
    <w:rsid w:val="00A3487A"/>
    <w:rsid w:val="00A43E3F"/>
    <w:rsid w:val="00A50864"/>
    <w:rsid w:val="00A54D52"/>
    <w:rsid w:val="00A74004"/>
    <w:rsid w:val="00AA71DC"/>
    <w:rsid w:val="00AB34B4"/>
    <w:rsid w:val="00AB3B18"/>
    <w:rsid w:val="00AB7769"/>
    <w:rsid w:val="00AE1840"/>
    <w:rsid w:val="00B27565"/>
    <w:rsid w:val="00B47A44"/>
    <w:rsid w:val="00B5700D"/>
    <w:rsid w:val="00B575D2"/>
    <w:rsid w:val="00B65B9C"/>
    <w:rsid w:val="00B75F69"/>
    <w:rsid w:val="00B80E36"/>
    <w:rsid w:val="00B872C5"/>
    <w:rsid w:val="00B964CD"/>
    <w:rsid w:val="00BB055F"/>
    <w:rsid w:val="00BB0DE1"/>
    <w:rsid w:val="00BC5F1D"/>
    <w:rsid w:val="00BC5F37"/>
    <w:rsid w:val="00C00514"/>
    <w:rsid w:val="00C20364"/>
    <w:rsid w:val="00C23170"/>
    <w:rsid w:val="00C2424C"/>
    <w:rsid w:val="00C34D91"/>
    <w:rsid w:val="00C4264E"/>
    <w:rsid w:val="00C435B3"/>
    <w:rsid w:val="00C71480"/>
    <w:rsid w:val="00D1231C"/>
    <w:rsid w:val="00D36CDE"/>
    <w:rsid w:val="00DA3AD2"/>
    <w:rsid w:val="00DA51E0"/>
    <w:rsid w:val="00DC1553"/>
    <w:rsid w:val="00DE79CE"/>
    <w:rsid w:val="00DF54BA"/>
    <w:rsid w:val="00E046AB"/>
    <w:rsid w:val="00E34370"/>
    <w:rsid w:val="00E347A1"/>
    <w:rsid w:val="00E47B49"/>
    <w:rsid w:val="00E56F72"/>
    <w:rsid w:val="00E627B9"/>
    <w:rsid w:val="00E874A9"/>
    <w:rsid w:val="00EB3911"/>
    <w:rsid w:val="00EB42F8"/>
    <w:rsid w:val="00ED67C7"/>
    <w:rsid w:val="00EE4B10"/>
    <w:rsid w:val="00EF334C"/>
    <w:rsid w:val="00EF510E"/>
    <w:rsid w:val="00F1475F"/>
    <w:rsid w:val="00F3504F"/>
    <w:rsid w:val="00F356A9"/>
    <w:rsid w:val="00F67DF4"/>
    <w:rsid w:val="00F7020C"/>
    <w:rsid w:val="00F80574"/>
    <w:rsid w:val="00FA23D3"/>
    <w:rsid w:val="00FC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D2A87"/>
  <w15:chartTrackingRefBased/>
  <w15:docId w15:val="{5F7C6843-175A-41A1-94CA-E9CE0A80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EF334C"/>
    <w:pPr>
      <w:keepNext/>
      <w:keepLines/>
      <w:numPr>
        <w:numId w:val="1"/>
      </w:numPr>
      <w:spacing w:before="240" w:after="240" w:line="240" w:lineRule="auto"/>
      <w:jc w:val="both"/>
      <w:outlineLvl w:val="0"/>
    </w:pPr>
    <w:rPr>
      <w:rFonts w:ascii="Calibri" w:eastAsiaTheme="majorEastAsia" w:hAnsi="Calibri" w:cstheme="majorBidi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34C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EF334C"/>
    <w:pPr>
      <w:keepNext/>
      <w:keepLines/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334C"/>
    <w:pPr>
      <w:keepNext/>
      <w:keepLines/>
      <w:numPr>
        <w:ilvl w:val="3"/>
        <w:numId w:val="1"/>
      </w:numPr>
      <w:spacing w:before="240" w:after="240" w:line="240" w:lineRule="auto"/>
      <w:outlineLvl w:val="3"/>
    </w:pPr>
    <w:rPr>
      <w:rFonts w:ascii="Calibri" w:eastAsiaTheme="majorEastAsia" w:hAnsi="Calibri" w:cstheme="majorBidi"/>
      <w:b/>
      <w:iCs/>
      <w:sz w:val="20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44"/>
  </w:style>
  <w:style w:type="paragraph" w:styleId="Footer">
    <w:name w:val="footer"/>
    <w:basedOn w:val="Normal"/>
    <w:link w:val="FooterChar"/>
    <w:uiPriority w:val="99"/>
    <w:unhideWhenUsed/>
    <w:rsid w:val="00B47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44"/>
  </w:style>
  <w:style w:type="character" w:customStyle="1" w:styleId="Heading1Char">
    <w:name w:val="Heading 1 Char"/>
    <w:basedOn w:val="DefaultParagraphFont"/>
    <w:link w:val="Heading1"/>
    <w:uiPriority w:val="99"/>
    <w:rsid w:val="00EF334C"/>
    <w:rPr>
      <w:rFonts w:ascii="Calibri" w:eastAsiaTheme="majorEastAsia" w:hAnsi="Calibri" w:cstheme="majorBidi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334C"/>
    <w:rPr>
      <w:rFonts w:asciiTheme="majorHAnsi" w:eastAsiaTheme="majorEastAsia" w:hAnsiTheme="majorHAnsi" w:cstheme="majorBidi"/>
      <w:b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EF334C"/>
    <w:rPr>
      <w:rFonts w:ascii="Calibri" w:eastAsiaTheme="majorEastAsia" w:hAnsi="Calibri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334C"/>
    <w:rPr>
      <w:rFonts w:ascii="Calibri" w:eastAsiaTheme="majorEastAsia" w:hAnsi="Calibri" w:cstheme="majorBidi"/>
      <w:b/>
      <w:iCs/>
      <w:sz w:val="20"/>
      <w:szCs w:val="18"/>
      <w:lang w:val="en-US"/>
    </w:rPr>
  </w:style>
  <w:style w:type="paragraph" w:customStyle="1" w:styleId="Title1">
    <w:name w:val="Title 1"/>
    <w:rsid w:val="00EF334C"/>
    <w:pPr>
      <w:numPr>
        <w:numId w:val="2"/>
      </w:numPr>
      <w:tabs>
        <w:tab w:val="clear" w:pos="216"/>
      </w:tabs>
      <w:spacing w:after="0" w:line="240" w:lineRule="auto"/>
      <w:ind w:left="0" w:firstLine="0"/>
      <w:jc w:val="center"/>
    </w:pPr>
    <w:rPr>
      <w:rFonts w:ascii="Times New Roman" w:eastAsia="MS Mincho" w:hAnsi="Times New Roman" w:cs="Times New Roman"/>
      <w:b/>
      <w:emboss/>
      <w:color w:val="820038"/>
      <w:sz w:val="96"/>
      <w:szCs w:val="72"/>
      <w:lang w:val="en-GB"/>
    </w:rPr>
  </w:style>
  <w:style w:type="paragraph" w:customStyle="1" w:styleId="p1">
    <w:name w:val="p1"/>
    <w:basedOn w:val="Normal"/>
    <w:rsid w:val="00215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5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ullets2Char">
    <w:name w:val="Bullets 2 Char"/>
    <w:basedOn w:val="DefaultParagraphFont"/>
    <w:link w:val="Bullets2"/>
    <w:locked/>
    <w:rsid w:val="00ED67C7"/>
    <w:rPr>
      <w:rFonts w:ascii="Verdana" w:hAnsi="Verdana"/>
      <w:sz w:val="18"/>
    </w:rPr>
  </w:style>
  <w:style w:type="paragraph" w:customStyle="1" w:styleId="Bullets2">
    <w:name w:val="Bullets 2"/>
    <w:basedOn w:val="Normal"/>
    <w:link w:val="Bullets2Char"/>
    <w:qFormat/>
    <w:rsid w:val="00ED67C7"/>
    <w:pPr>
      <w:numPr>
        <w:numId w:val="3"/>
      </w:numPr>
      <w:spacing w:after="120" w:line="240" w:lineRule="auto"/>
    </w:pPr>
    <w:rPr>
      <w:rFonts w:ascii="Verdana" w:hAnsi="Verdana"/>
      <w:sz w:val="18"/>
    </w:rPr>
  </w:style>
  <w:style w:type="paragraph" w:styleId="ListParagraph">
    <w:name w:val="List Paragraph"/>
    <w:aliases w:val="Numeri tabella,d_bodyb,Resume Title,Bullets,bullets,List Paragraph1,List Paragraph Char Char,b1,lp1,Amex_bullet,Figure_name,List Paragraph11,Number_1,SGLText List Paragraph,new,List Paragraph2,Colorful List - Accent 11,ListPar1"/>
    <w:basedOn w:val="Normal"/>
    <w:link w:val="ListParagraphChar"/>
    <w:uiPriority w:val="34"/>
    <w:qFormat/>
    <w:rsid w:val="00ED67C7"/>
    <w:pPr>
      <w:ind w:left="720"/>
      <w:contextualSpacing/>
    </w:pPr>
  </w:style>
  <w:style w:type="paragraph" w:customStyle="1" w:styleId="Default">
    <w:name w:val="Default"/>
    <w:rsid w:val="00023C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957DE7"/>
    <w:pPr>
      <w:tabs>
        <w:tab w:val="left" w:pos="720"/>
        <w:tab w:val="left" w:pos="1440"/>
        <w:tab w:val="left" w:pos="2160"/>
      </w:tabs>
      <w:spacing w:after="0" w:line="240" w:lineRule="auto"/>
    </w:pPr>
    <w:rPr>
      <w:rFonts w:ascii="Verdana" w:eastAsia="Times New Roman" w:hAnsi="Verdana" w:cs="Times New Roman"/>
      <w:sz w:val="20"/>
      <w:szCs w:val="18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57DE7"/>
    <w:rPr>
      <w:rFonts w:ascii="Verdana" w:eastAsia="Times New Roman" w:hAnsi="Verdana" w:cs="Times New Roman"/>
      <w:sz w:val="20"/>
      <w:szCs w:val="18"/>
      <w:lang w:val="en-GB"/>
    </w:rPr>
  </w:style>
  <w:style w:type="character" w:styleId="FootnoteReference">
    <w:name w:val="footnote reference"/>
    <w:basedOn w:val="DefaultParagraphFont"/>
    <w:uiPriority w:val="99"/>
    <w:rsid w:val="00957DE7"/>
    <w:rPr>
      <w:vertAlign w:val="superscript"/>
    </w:rPr>
  </w:style>
  <w:style w:type="character" w:customStyle="1" w:styleId="ListParagraphChar">
    <w:name w:val="List Paragraph Char"/>
    <w:aliases w:val="Numeri tabella Char,d_bodyb Char,Resume Title Char,Bullets Char,bullets Char,List Paragraph1 Char,List Paragraph Char Char Char,b1 Char,lp1 Char,Amex_bullet Char,Figure_name Char,List Paragraph11 Char,Number_1 Char,new Char"/>
    <w:basedOn w:val="DefaultParagraphFont"/>
    <w:link w:val="ListParagraph"/>
    <w:uiPriority w:val="34"/>
    <w:qFormat/>
    <w:locked/>
    <w:rsid w:val="00957DE7"/>
  </w:style>
  <w:style w:type="paragraph" w:customStyle="1" w:styleId="Vinay">
    <w:name w:val="Vinay"/>
    <w:basedOn w:val="Heading3"/>
    <w:link w:val="VinayChar"/>
    <w:qFormat/>
    <w:rsid w:val="00957DE7"/>
    <w:pPr>
      <w:numPr>
        <w:ilvl w:val="0"/>
        <w:numId w:val="7"/>
      </w:numPr>
      <w:spacing w:before="0" w:after="0" w:line="276" w:lineRule="auto"/>
    </w:pPr>
    <w:rPr>
      <w:rFonts w:ascii="Verdana" w:hAnsi="Verdana"/>
      <w:color w:val="000000" w:themeColor="text1"/>
      <w:sz w:val="20"/>
      <w:szCs w:val="26"/>
      <w:lang w:val="en-AU"/>
    </w:rPr>
  </w:style>
  <w:style w:type="character" w:customStyle="1" w:styleId="VinayChar">
    <w:name w:val="Vinay Char"/>
    <w:basedOn w:val="Heading3Char"/>
    <w:link w:val="Vinay"/>
    <w:rsid w:val="00957DE7"/>
    <w:rPr>
      <w:rFonts w:ascii="Verdana" w:eastAsiaTheme="majorEastAsia" w:hAnsi="Verdana" w:cstheme="majorBidi"/>
      <w:b/>
      <w:color w:val="000000" w:themeColor="text1"/>
      <w:sz w:val="20"/>
      <w:szCs w:val="26"/>
      <w:lang w:val="en-AU"/>
    </w:rPr>
  </w:style>
  <w:style w:type="table" w:styleId="TableGrid">
    <w:name w:val="Table Grid"/>
    <w:basedOn w:val="TableNormal"/>
    <w:uiPriority w:val="59"/>
    <w:rsid w:val="00804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C1404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C14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4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4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140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F0C70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94881"/>
    <w:pPr>
      <w:spacing w:after="100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894881"/>
    <w:pPr>
      <w:spacing w:after="100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894881"/>
    <w:pPr>
      <w:spacing w:after="100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894881"/>
    <w:pPr>
      <w:spacing w:after="100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894881"/>
    <w:pPr>
      <w:spacing w:after="100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894881"/>
    <w:pPr>
      <w:spacing w:after="100"/>
      <w:ind w:left="1760"/>
    </w:pPr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94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666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70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40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12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393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420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30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532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768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81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4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867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830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460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21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09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705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67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352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49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200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170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03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59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70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197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43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48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39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16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079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49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717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1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57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19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E3FBB-48E2-4274-B934-F9430698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7113</TotalTime>
  <Pages>16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Dhir (IND)</dc:creator>
  <cp:keywords/>
  <dc:description/>
  <cp:lastModifiedBy>Sachchidanand Jha (IND)</cp:lastModifiedBy>
  <cp:revision>58</cp:revision>
  <dcterms:created xsi:type="dcterms:W3CDTF">2022-09-12T03:57:00Z</dcterms:created>
  <dcterms:modified xsi:type="dcterms:W3CDTF">2023-06-27T10:33:00Z</dcterms:modified>
</cp:coreProperties>
</file>