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mvp9x8qdcf" w:id="0"/>
      <w:bookmarkEnd w:id="0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image from the provided filename, open it with PIL, convert to a NumPy array, and display it to visually confirm correct input before further processing.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a 256-bin histogram by counting how many pixels have each grayscale intensity, turning the image’s raw pixel distribution into a compact summary for later normalization and equalization steps.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histogram counts to a probability mass function by dividing each bin by total pixels, ensuring values sum to one and allowing consistent cumulative distribution computation across different image sizes.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cumulative distribution function by cumulatively summing the probability mass from intensity 0 upward, producing a monotonically increasing mapping foundation that spreads intensities more uniformly across the range.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equalization lookup table by scaling the CDF to 0–255 and rounding, optionally using CDFmin normalization, creating a direct per-level remapping to enhance contrast by redistributing frequent intensities.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lookup table to every pixel to replace original intensities with equalized values, improve global contrast, then save the processed image; optionally recompute and plot histograms for before-after comparison.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erosion by padding borders, sliding an odd-sized kernel window, and taking the neighborhood minimum per pixel, which shrinks bright regions and removes small bright noise effectively.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dilation similarly by padding and sliding the same kernel, taking the neighborhood maximum per pixel, which grows bright regions, fills small gaps, and complements erosion effects structurally.assignment3_ip.py​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the morphological gradient as the difference between dilation and erosion outputs, yielding an edge-emphasized image that captures intensity transitions and outlines object boundaries robustly.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texture segmentation by opening the gradient, subtracting the opened image, clamping negatives, then thresholding using mean plus half standard deviation to produce a binary mask highlighting fine texture boundaries.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OBSERVATIONS AND LLM RESULTS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Textural segmentation produced satisfactory results for </w:t>
      </w:r>
      <w:r w:rsidDel="00000000" w:rsidR="00000000" w:rsidRPr="00000000">
        <w:rPr>
          <w:i w:val="1"/>
          <w:sz w:val="26"/>
          <w:szCs w:val="26"/>
          <w:rtl w:val="0"/>
        </w:rPr>
        <w:t xml:space="preserve">pic3</w:t>
      </w:r>
      <w:r w:rsidDel="00000000" w:rsidR="00000000" w:rsidRPr="00000000">
        <w:rPr>
          <w:sz w:val="26"/>
          <w:szCs w:val="26"/>
          <w:rtl w:val="0"/>
        </w:rPr>
        <w:t xml:space="preserve">. However, several analytical trials were conducted to determine the optimal parameters for successive morphological closing operations.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parameter set that yielded the best results is summarized below: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  </w:t>
      </w:r>
      <w:r w:rsidDel="00000000" w:rsidR="00000000" w:rsidRPr="00000000">
        <w:rPr>
          <w:b w:val="1"/>
          <w:sz w:val="26"/>
          <w:szCs w:val="26"/>
          <w:rtl w:val="0"/>
        </w:rPr>
        <w:t xml:space="preserve">Closing sizes:</w:t>
      </w:r>
      <w:r w:rsidDel="00000000" w:rsidR="00000000" w:rsidRPr="00000000">
        <w:rPr>
          <w:sz w:val="26"/>
          <w:szCs w:val="26"/>
          <w:rtl w:val="0"/>
        </w:rPr>
        <w:t xml:space="preserve"> 9, 11, 13, 15</w:t>
        <w:br w:type="textWrapping"/>
        <w:t xml:space="preserve">   </w:t>
      </w:r>
      <w:r w:rsidDel="00000000" w:rsidR="00000000" w:rsidRPr="00000000">
        <w:rPr>
          <w:b w:val="1"/>
          <w:sz w:val="26"/>
          <w:szCs w:val="26"/>
          <w:rtl w:val="0"/>
        </w:rPr>
        <w:t xml:space="preserve">Opening size:</w:t>
      </w:r>
      <w:r w:rsidDel="00000000" w:rsidR="00000000" w:rsidRPr="00000000">
        <w:rPr>
          <w:sz w:val="26"/>
          <w:szCs w:val="26"/>
          <w:rtl w:val="0"/>
        </w:rPr>
        <w:t xml:space="preserve"> 60</w:t>
        <w:br w:type="textWrapping"/>
        <w:t xml:space="preserve">   </w:t>
      </w:r>
      <w:r w:rsidDel="00000000" w:rsidR="00000000" w:rsidRPr="00000000">
        <w:rPr>
          <w:b w:val="1"/>
          <w:sz w:val="26"/>
          <w:szCs w:val="26"/>
          <w:rtl w:val="0"/>
        </w:rPr>
        <w:t xml:space="preserve">Threshold factor:</w:t>
      </w:r>
      <w:r w:rsidDel="00000000" w:rsidR="00000000" w:rsidRPr="00000000">
        <w:rPr>
          <w:sz w:val="26"/>
          <w:szCs w:val="26"/>
          <w:rtl w:val="0"/>
        </w:rPr>
        <w:t xml:space="preserve"> 0.3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morphological gradient was computed using a kernel size of 5 during the textural segmentation process.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Histogram equalization worked well for pic1 and pic2 but for pic3, the histogram was relatively well and there wasn't much difference after equalization.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ChatGPT could not provide the correct code for textural segmentation and initially suggested only one closing operation, hence I switched to Perplexity Pro.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Slides of the course were given as the theoretical base for LLMs which repeatedly wanted to use advanced in-built library methods.</w:t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ind w:left="0" w:firstLine="0"/>
        <w:rPr/>
      </w:pPr>
      <w:bookmarkStart w:colFirst="0" w:colLast="0" w:name="_vha4tst2aq0c" w:id="1"/>
      <w:bookmarkEnd w:id="1"/>
      <w:r w:rsidDel="00000000" w:rsidR="00000000" w:rsidRPr="00000000">
        <w:rPr>
          <w:rtl w:val="0"/>
        </w:rPr>
        <w:t xml:space="preserve">OUTPUTS OF CODE BY LLM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35620" cy="89477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5620" cy="894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29263" cy="330355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3303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