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6366f1"/>
          <w:sz w:val="56"/>
          <w:szCs w:val="56"/>
        </w:rPr>
        <w:t xml:space="preserve">StockSense360</w:t>
      </w:r>
    </w:p>
    <w:p>
      <w:pPr>
        <w:spacing w:after="800" w:before="200"/>
        <w:jc w:val="center"/>
      </w:pPr>
      <w:r>
        <w:rPr>
          <w:color w:val="374151"/>
          <w:sz w:val="32"/>
          <w:szCs w:val="32"/>
        </w:rPr>
        <w:t xml:space="preserve">Technical Handbook</w:t>
      </w:r>
    </w:p>
    <w:p>
      <w:pPr>
        <w:jc w:val="center"/>
      </w:pPr>
      <w:r>
        <w:rPr>
          <w:i/>
          <w:iCs/>
          <w:color w:val="6b7280"/>
          <w:sz w:val="22"/>
          <w:szCs w:val="22"/>
        </w:rPr>
        <w:t xml:space="preserve">Architecture, AI engine logic, infrastructure, and operational reference</w:t>
      </w:r>
    </w:p>
    <w:p>
      <w:pPr>
        <w:spacing w:before="600"/>
        <w:jc w:val="center"/>
      </w:pPr>
      <w:r>
        <w:rPr>
          <w:color w:val="9ca3af"/>
          <w:sz w:val="18"/>
          <w:szCs w:val="18"/>
        </w:rPr>
        <w:t xml:space="preserve">Internal document — engineering &amp; founder reference, not for end users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Architecture Overview</w:t>
      </w:r>
    </w:p>
    <w:p>
      <w:pPr>
        <w:spacing w:after="160"/>
      </w:pPr>
      <w:r>
        <w:t xml:space="preserve">StockSense360 is a two-service application: a Next.js frontend deployed on Vercel, and a FastAPI backend deployed on Railway. They communicate over HTTPS. User accounts, sessions, and the invite-only signup flow are handled by Supabase. Application data — daily picks, paper trades, validation runs, watchlists, alerts — lives in a Postgres database. Transactional email (invites, target/stop-loss notifications) is sent through Resend.</w:t>
      </w:r>
    </w:p>
    <w:p>
      <w:pPr>
        <w:spacing w:after="240" w:before="120"/>
        <w:jc w:val="center"/>
      </w:pPr>
      <w:r>
        <w:drawing>
          <wp:inline distT="0" distB="0" distL="0" distR="0">
            <wp:extent cx="5905500" cy="330517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5905500" cy="3305175"/>
                    </a:xfrm>
                    <a:prstGeom prst="rect">
                      <a:avLst/>
                    </a:prstGeom>
                  </pic:spPr>
                </pic:pic>
              </a:graphicData>
            </a:graphic>
          </wp:inline>
        </w:drawing>
      </w:r>
    </w:p>
    <w:p>
      <w:pPr>
        <w:spacing w:after="280"/>
        <w:jc w:val="center"/>
      </w:pPr>
      <w:r>
        <w:rPr>
          <w:i/>
          <w:iCs/>
          <w:color w:val="6b7280"/>
          <w:sz w:val="18"/>
          <w:szCs w:val="18"/>
        </w:rPr>
        <w:t xml:space="preserve">Figure 1 — System architecture and request flow</w:t>
      </w:r>
    </w:p>
    <w:p>
      <w:pPr>
        <w:pStyle w:val="Heading2"/>
      </w:pPr>
      <w:r>
        <w:t xml:space="preserve">1.1 Why this split</w:t>
      </w:r>
    </w:p>
    <w:p>
      <w:pPr>
        <w:spacing w:after="160"/>
      </w:pPr>
      <w:r>
        <w:t xml:space="preserve">The frontend and backend are deployed and scaled independently because they have very different workloads:</w:t>
      </w:r>
    </w:p>
    <w:p>
      <w:pPr>
        <w:pStyle w:val="ListParagraph"/>
        <w:numPr>
          <w:ilvl w:val="0"/>
          <w:numId w:val="2"/>
        </w:numPr>
        <w:spacing w:after="80"/>
      </w:pPr>
      <w:r>
        <w:t xml:space="preserve">The frontend is mostly static page delivery + client-side data fetching — Vercel's edge network and Next.js's static generation are the cheapest, fastest way to serve that.</w:t>
      </w:r>
    </w:p>
    <w:p>
      <w:pPr>
        <w:pStyle w:val="ListParagraph"/>
        <w:numPr>
          <w:ilvl w:val="0"/>
          <w:numId w:val="2"/>
        </w:numPr>
        <w:spacing w:after="80"/>
      </w:pPr>
      <w:r>
        <w:t xml:space="preserve">The backend runs CPU-heavy work — scoring 2,000+ stocks, walk-forward backtests, KMeans regime clustering — which needs a real long-running Python process, not a serverless function with execution time limits.</w:t>
      </w:r>
    </w:p>
    <w:p>
      <w:pPr>
        <w:spacing w:after="160"/>
      </w:pPr>
      <w:r>
        <w:t xml:space="preserve"/>
      </w:r>
    </w:p>
    <w:p>
      <w:pPr>
        <w:pStyle w:val="Heading2"/>
      </w:pPr>
      <w:r>
        <w:t xml:space="preserve">1.2 Why each tool was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Tool</w:t>
            </w:r>
          </w:p>
        </w:tc>
        <w:tc>
          <w:tcPr>
            <w:tcW w:type="dxa" w:w="31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Role</w:t>
            </w:r>
          </w:p>
        </w:tc>
        <w:tc>
          <w:tcPr>
            <w:tcW w:type="dxa" w:w="40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Why this 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Vercel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Frontend hosting (Next.js)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Zero-config Next.js deploys, automatic preview URLs per branch, generous free tier, global CDN.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Railway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Backend hosting (FastAPI)</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Always-on container (no cold starts, unlike free-tier Render), simple GitHub-push deploys, built-in Postgres.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Supabase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Auth + user database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Managed Postgres + auth in one, invite-only user management via the dashboard, generous free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Resend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Transactional email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Simple HTTP API, fast domain verification (DKIM/SPF/MX), good deliverability without a large ESP contract.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GitHub Actions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Scheduled cron triggers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Free, version-controlled alongside the code, no separate infra needed for a simple daily 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Yahoo Finance (yfinance)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Market data (US + India)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No API key required, broad coverage of US and NSE-listed equities, free.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screener.in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India fundamentals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Best free source of Indian company financials (Yahoo's India fundamentals coverage is thin).</w:t>
            </w:r>
          </w:p>
        </w:tc>
      </w:tr>
    </w:tbl>
    <w:p>
      <w:pPr>
        <w:spacing w:after="160"/>
      </w:pPr>
      <w:r>
        <w:t xml:space="preserve"/>
      </w:r>
    </w:p>
    <w:p>
      <w:pPr>
        <w:pStyle w:val="Heading2"/>
      </w:pPr>
      <w:r>
        <w:t xml:space="preserve">1.3 Data flow at a glance</w:t>
      </w:r>
    </w:p>
    <w:p>
      <w:pPr>
        <w:pStyle w:val="ListParagraph"/>
        <w:numPr>
          <w:ilvl w:val="0"/>
          <w:numId w:val="2"/>
        </w:numPr>
        <w:spacing w:after="80"/>
      </w:pPr>
      <w:r>
        <w:t xml:space="preserve">A user signs in via Supabase Auth on the Vercel-hosted frontend.</w:t>
      </w:r>
    </w:p>
    <w:p>
      <w:pPr>
        <w:pStyle w:val="ListParagraph"/>
        <w:numPr>
          <w:ilvl w:val="0"/>
          <w:numId w:val="2"/>
        </w:numPr>
        <w:spacing w:after="80"/>
      </w:pPr>
      <w:r>
        <w:t xml:space="preserve">The frontend calls the Railway backend directly for everything else — quotes, predictions, picks, paper trading, validation results — using the Supabase user ID as an opaque identifier (the backend never talks to Supabase directly except via this ID).</w:t>
      </w:r>
    </w:p>
    <w:p>
      <w:pPr>
        <w:pStyle w:val="ListParagraph"/>
        <w:numPr>
          <w:ilvl w:val="0"/>
          <w:numId w:val="2"/>
        </w:numPr>
        <w:spacing w:after="80"/>
      </w:pPr>
      <w:r>
        <w:t xml:space="preserve">The backend reads/writes Postgres for anything that needs to persist (trades, picks, validation runs, watchlists, alerts).</w:t>
      </w:r>
    </w:p>
    <w:p>
      <w:pPr>
        <w:pStyle w:val="ListParagraph"/>
        <w:numPr>
          <w:ilvl w:val="0"/>
          <w:numId w:val="2"/>
        </w:numPr>
        <w:spacing w:after="80"/>
      </w:pPr>
      <w:r>
        <w:t xml:space="preserve">A GitHub Actions cron job hits a secret-protected endpoint once a day to kick off picks generation; the backend also has its own startup catch-up logic in case that cron is missed.</w:t>
      </w:r>
    </w:p>
    <w:p>
      <w:pPr>
        <w:pStyle w:val="ListParagraph"/>
        <w:numPr>
          <w:ilvl w:val="0"/>
          <w:numId w:val="2"/>
        </w:numPr>
        <w:spacing w:after="80"/>
      </w:pPr>
      <w:r>
        <w:t xml:space="preserve">Resend sends emails on two triggers: Supabase invite/reset links (configured in Supabase's own SMTP settings) and paper-trade proximity alerts (sent directly from the backend via Resend's HTTP API).</w:t>
      </w:r>
    </w:p>
    <w:p>
      <w:r>
        <w:br w:type="page"/>
      </w:r>
    </w:p>
    <w:p>
      <w:pPr>
        <w:pStyle w:val="Heading1"/>
      </w:pPr>
      <w:r>
        <w:t xml:space="preserve">2. The AI Engine — How a Signal Is Made</w:t>
      </w:r>
    </w:p>
    <w:p>
      <w:pPr>
        <w:spacing w:after="160"/>
      </w:pPr>
      <w:r>
        <w:t xml:space="preserve">Every BUY/HOLD/SELL signal — whether shown on a stock page or in Daily Picks — comes from the same prediction engine. It blends technical, fundamental, sentiment, and macro factors into a single composite score, then maps that score to a signal and a confidence percentage.</w:t>
      </w:r>
    </w:p>
    <w:p>
      <w:pPr>
        <w:pStyle w:val="Heading2"/>
      </w:pPr>
      <w:r>
        <w:t xml:space="preserve">2.1 Factor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Factor</w:t>
            </w:r>
          </w:p>
        </w:tc>
        <w:tc>
          <w:tcPr>
            <w:tcW w:type="dxa" w:w="27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What it captures</w:t>
            </w:r>
          </w:p>
        </w:tc>
        <w:tc>
          <w:tcPr>
            <w:tcW w:type="dxa" w:w="48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Technical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Price action &amp; momentum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RSI, MACD, EMA-200, OBV, MFI, candlestick patterns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Fundamental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Business quality &amp; valuation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P/E, ROE, ROCE, Piotroski F-score, debt ratios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Sentiment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News tone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Recent headlines scored bullish/bearish/neutral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Regime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Market-wide context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KMeans-clustered bull/bear × calm/volatile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Global macro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Cross-market signal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S&amp;P 500, NASDAQ, USD/INR, Brent, VIX, US 10Y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Analyst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Street consensus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Mean analyst target price, rating distribution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Quality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Balance-sheet health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Sector, Piotroski score, governance flags</w:t>
            </w:r>
          </w:p>
        </w:tc>
      </w:tr>
    </w:tbl>
    <w:p>
      <w:pPr>
        <w:pStyle w:val="Heading2"/>
      </w:pPr>
      <w:r>
        <w:t xml:space="preserve">2.2 Daily Picks pipeline (the 2 AM IST run)</w:t>
      </w:r>
    </w:p>
    <w:p>
      <w:pPr>
        <w:spacing w:after="160"/>
      </w:pPr>
      <w:r>
        <w:t xml:space="preserve">Daily Picks runs the same scoring engine but at scale — across the whole NSE universe — once a day. It's a multi-phase pipeline:</w:t>
      </w:r>
    </w:p>
    <w:p>
      <w:pPr>
        <w:spacing w:after="240" w:before="120"/>
        <w:jc w:val="center"/>
      </w:pPr>
      <w:r>
        <w:drawing>
          <wp:inline distT="0" distB="0" distL="0" distR="0">
            <wp:extent cx="5334000" cy="404812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11"/>
                        </a:ext>
                      </a:extLst>
                    </a:blip>
                    <a:srcRect/>
                    <a:stretch>
                      <a:fillRect/>
                    </a:stretch>
                  </pic:blipFill>
                  <pic:spPr bwMode="auto">
                    <a:xfrm>
                      <a:off x="0" y="0"/>
                      <a:ext cx="5334000" cy="4048125"/>
                    </a:xfrm>
                    <a:prstGeom prst="rect">
                      <a:avLst/>
                    </a:prstGeom>
                  </pic:spPr>
                </pic:pic>
              </a:graphicData>
            </a:graphic>
          </wp:inline>
        </w:drawing>
      </w:r>
    </w:p>
    <w:p>
      <w:pPr>
        <w:spacing w:after="280"/>
        <w:jc w:val="center"/>
      </w:pPr>
      <w:r>
        <w:rPr>
          <w:i/>
          <w:iCs/>
          <w:color w:val="6b7280"/>
          <w:sz w:val="18"/>
          <w:szCs w:val="18"/>
        </w:rPr>
        <w:t xml:space="preserve">Figure 2 — Daily Picks generation pipeline phases</w:t>
      </w:r>
    </w:p>
    <w:p>
      <w:pPr>
        <w:pStyle w:val="Heading2"/>
      </w:pPr>
      <w:r>
        <w:t xml:space="preserve">2.3 The IC Engine and Bayesian shrinkage</w:t>
      </w:r>
    </w:p>
    <w:p>
      <w:pPr>
        <w:spacing w:after="160"/>
      </w:pPr>
      <w:r>
        <w:t xml:space="preserve">Factor weights aren't fixed — they're learned from what actually worked. The IC (Information Coefficient) engine measures how well each factor historically predicted forward returns, and weights factors accordingly. Early on, with fewer than 60 real outcome pairs, the engine leans on academic priors (published factor-weight research) rather than noisy early data:</w:t>
      </w:r>
    </w:p>
    <w:p>
      <w:pPr>
        <w:shd w:fill="F3F4F6" w:val="clear"/>
        <w:spacing w:after="160"/>
      </w:pPr>
      <w:r>
        <w:rPr>
          <w:rFonts w:ascii="Courier New" w:cs="Courier New" w:eastAsia="Courier New" w:hAnsi="Courier New"/>
          <w:color w:val="1f2937"/>
          <w:sz w:val="19"/>
          <w:szCs w:val="19"/>
        </w:rPr>
        <w:t xml:space="preserve">live_weight = (n_outcomes - 60) / 200   # clamped to [0, 1]</w:t>
      </w:r>
    </w:p>
    <w:p>
      <w:pPr>
        <w:spacing w:after="160"/>
      </w:pPr>
      <w:r>
        <w:t xml:space="preserve">As more real outcomes accumulate (via the outcome logger resolving past predictions against actual returns), the engine smoothly shifts from academic priors to live, data-driven weights.</w:t>
      </w:r>
    </w:p>
    <w:p>
      <w:pPr>
        <w:pStyle w:val="Heading2"/>
      </w:pPr>
      <w:r>
        <w:t xml:space="preserve">2.4 Validation / backtesting methodology</w:t>
      </w:r>
    </w:p>
    <w:p>
      <w:pPr>
        <w:spacing w:after="160"/>
      </w:pPr>
      <w:r>
        <w:t xml:space="preserve">The Validation page shows walk-forward backtest results — at each historical date, the model only uses data available before that date (no look-ahead bias). A signal is scored correct relative to its benchmark:</w:t>
      </w:r>
    </w:p>
    <w:p>
      <w:pPr>
        <w:pStyle w:val="ListParagraph"/>
        <w:numPr>
          <w:ilvl w:val="0"/>
          <w:numId w:val="2"/>
        </w:numPr>
        <w:spacing w:after="80"/>
      </w:pPr>
      <w:r>
        <w:t xml:space="preserve">BUY is correct only if the stock outperforms the benchmark (Nifty for India, S&amp;P 500 for US) over the forward window.</w:t>
      </w:r>
    </w:p>
    <w:p>
      <w:pPr>
        <w:pStyle w:val="ListParagraph"/>
        <w:numPr>
          <w:ilvl w:val="0"/>
          <w:numId w:val="2"/>
        </w:numPr>
        <w:spacing w:after="80"/>
      </w:pPr>
      <w:r>
        <w:t xml:space="preserve">SELL is correct only if it underperforms the benchmark.</w:t>
      </w:r>
    </w:p>
    <w:p>
      <w:pPr>
        <w:pStyle w:val="ListParagraph"/>
        <w:numPr>
          <w:ilvl w:val="0"/>
          <w:numId w:val="2"/>
        </w:numPr>
        <w:spacing w:after="80"/>
      </w:pPr>
      <w:r>
        <w:t xml:space="preserve">HOLD is correct if it stays within a small band of the benchmark.</w:t>
      </w:r>
    </w:p>
    <w:p>
      <w:pPr>
        <w:spacing w:after="160"/>
      </w:pPr>
      <w:r>
        <w:t xml:space="preserve">Validation runs separately across three universes — Nifty 100, NSE midcap, and a US basket — each tracked independently so US results never overwrite India results (a real bug fixed in Session 7, see Section 6).</w:t>
      </w:r>
    </w:p>
    <w:p>
      <w:r>
        <w:br w:type="page"/>
      </w:r>
    </w:p>
    <w:p>
      <w:pPr>
        <w:pStyle w:val="Heading1"/>
      </w:pPr>
      <w:r>
        <w:t xml:space="preserve">3. Database &amp; Data Model</w:t>
      </w:r>
    </w:p>
    <w:p>
      <w:pPr>
        <w:spacing w:after="160"/>
      </w:pPr>
      <w:r>
        <w:t xml:space="preserve">All application data lives in a single Postgres database (Railway-managed). Schema is applied idempotently on every backend startup via SCHEMA_SQL in postgres_store.py and validation_engine.py — CREATE TABLE IF NOT EXISTS plus explicit ALTER TABLE ADD COLUMN IF NOT EXISTS for migrations on tables that already exist.</w:t>
      </w:r>
    </w:p>
    <w:p>
      <w:pPr>
        <w:pStyle w:val="Heading2"/>
      </w:pPr>
      <w:r>
        <w:t xml:space="preserve">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paper_portfolio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One row per user — virtual cash balance, email for notifications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paper_trades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Individual paper trades — entry/exit price, target, stop loss,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val_runs / val_signals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Validation backtest runs and per-signal results, tagged by universe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watchlist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User-saved stocks for quick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signal_feedback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Thumbs up/down votes on individual signals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nps_responses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Monthly Net Promoter Score survey responses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terms_acceptance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Legal disclaimer acceptance record per user, with timestamp + IP</w:t>
            </w:r>
          </w:p>
        </w:tc>
      </w:tr>
    </w:tbl>
    <w:p>
      <w:pPr>
        <w:spacing w:after="160"/>
      </w:pPr>
      <w:r>
        <w:t xml:space="preserve"/>
      </w:r>
    </w:p>
    <w:p>
      <w:pPr>
        <w:pStyle w:val="Heading2"/>
      </w:pPr>
      <w:r>
        <w:t xml:space="preserve">3.2 Why Postgres over the alternatives</w:t>
      </w:r>
    </w:p>
    <w:p>
      <w:pPr>
        <w:spacing w:after="160"/>
      </w:pPr>
      <w:r>
        <w:t xml:space="preserve">Early prototyping used local SQLite for some services; production now uses Postgres throughout because Railway's filesystem is ephemeral on redeploy (any local SQLite file would be wiped), while Postgres data survives redeploys, restarts, and crashes.</w:t>
      </w:r>
    </w:p>
    <w:p>
      <w:r>
        <w:br w:type="page"/>
      </w:r>
    </w:p>
    <w:p>
      <w:pPr>
        <w:pStyle w:val="Heading1"/>
      </w:pPr>
      <w:r>
        <w:t xml:space="preserve">4. Authentication &amp; Security Model</w:t>
      </w:r>
    </w:p>
    <w:p>
      <w:pPr>
        <w:pStyle w:val="Heading2"/>
      </w:pPr>
      <w:r>
        <w:t xml:space="preserve">4.1 Invite-only access</w:t>
      </w:r>
    </w:p>
    <w:p>
      <w:pPr>
        <w:spacing w:after="160"/>
      </w:pPr>
      <w:r>
        <w:t xml:space="preserve">There is no public sign-up. New users are added via Supabase's Authentication → Users → Invite user, which sends a branded email (custom SMTP via Resend, sent from invites@stocksense360.com) with a one-time link. Clicking it authenticates the user for one session, after which they set a real password on /auth/set-password before continuing to the legal disclaimer + profile form on /accept-terms.</w:t>
      </w:r>
    </w:p>
    <w:p>
      <w:pPr>
        <w:pStyle w:val="Heading2"/>
      </w:pPr>
      <w:r>
        <w:t xml:space="preserve">4.2 Terms acceptance</w:t>
      </w:r>
    </w:p>
    <w:p>
      <w:pPr>
        <w:spacing w:after="160"/>
      </w:pPr>
      <w:r>
        <w:t xml:space="preserve">Every user must accept a legal disclaimer (SEBI/SEC non-advice language) before reaching the app. Acceptance is tracked per-user via a scoped cookie (ss_terms_&lt;user.id&gt;) plus a server-side record with timestamp and IP — not a single shared cookie, which was a real bug fixed in Session 7 (a new user on a shared browser could otherwise inherit a previous user's acceptance and skip the form entirely).</w:t>
      </w:r>
    </w:p>
    <w:p>
      <w:pPr>
        <w:pStyle w:val="Heading2"/>
      </w:pPr>
      <w:r>
        <w:t xml:space="preserve">4.3 What the backend trusts</w:t>
      </w:r>
    </w:p>
    <w:p>
      <w:pPr>
        <w:spacing w:after="160"/>
      </w:pPr>
      <w:r>
        <w:t xml:space="preserve">The FastAPI backend never talks to Supabase directly — it treats the Supabase user ID as an opaque string passed in from the frontend on every request. There is no shared secret or service-role key between the two services for normal operation; the only place a sensitive key crosses the boundary is the Resend API key used for outbound email, which lives only as a Railway environment variable.</w:t>
      </w:r>
    </w:p>
    <w:p>
      <w:r>
        <w:br w:type="page"/>
      </w:r>
    </w:p>
    <w:p>
      <w:pPr>
        <w:pStyle w:val="Heading1"/>
      </w:pPr>
      <w:r>
        <w:t xml:space="preserve">5. Infrastructure Reference</w:t>
      </w:r>
    </w:p>
    <w:p>
      <w:pPr>
        <w:pStyle w:val="Heading2"/>
      </w:pPr>
      <w:r>
        <w:t xml:space="preserve">5.1 Railway (backend)</w:t>
      </w:r>
    </w:p>
    <w:p>
      <w:pPr>
        <w:pStyle w:val="ListParagraph"/>
        <w:numPr>
          <w:ilvl w:val="0"/>
          <w:numId w:val="2"/>
        </w:numPr>
        <w:spacing w:after="80"/>
      </w:pPr>
      <w:r>
        <w:t xml:space="preserve">Service watches the GitHub repo and redeploys on push — scoped to backend/** only via railway.json's build.watchPatterns, so frontend-only or docs-only commits don't trigger an unnecessary restart.</w:t>
      </w:r>
    </w:p>
    <w:p>
      <w:pPr>
        <w:pStyle w:val="ListParagraph"/>
        <w:numPr>
          <w:ilvl w:val="0"/>
          <w:numId w:val="2"/>
        </w:numPr>
        <w:spacing w:after="80"/>
      </w:pPr>
      <w:r>
        <w:t xml:space="preserve">Environment variables include DATABASE_URL (Postgres), PICKS_SECRET (protects the manual /api/picks/generate trigger), RESEND_API_KEY (for paper-trade proximity emails).</w:t>
      </w:r>
    </w:p>
    <w:p>
      <w:pPr>
        <w:pStyle w:val="ListParagraph"/>
        <w:numPr>
          <w:ilvl w:val="0"/>
          <w:numId w:val="2"/>
        </w:numPr>
        <w:spacing w:after="80"/>
      </w:pPr>
      <w:r>
        <w:t xml:space="preserve">Several asyncio background loops run inside the same process: daily picks catch-up, validation scheduling, yfinance session refresh, outcome resolution, and the paper-trade notifier.</w:t>
      </w:r>
    </w:p>
    <w:p>
      <w:pPr>
        <w:pStyle w:val="Heading2"/>
      </w:pPr>
      <w:r>
        <w:t xml:space="preserve">5.2 Vercel (frontend)</w:t>
      </w:r>
    </w:p>
    <w:p>
      <w:pPr>
        <w:pStyle w:val="ListParagraph"/>
        <w:numPr>
          <w:ilvl w:val="0"/>
          <w:numId w:val="2"/>
        </w:numPr>
        <w:spacing w:after="80"/>
      </w:pPr>
      <w:r>
        <w:t xml:space="preserve">Deploys automatically on every push to main; preview deployments are created for other branches/PRs.</w:t>
      </w:r>
    </w:p>
    <w:p>
      <w:pPr>
        <w:pStyle w:val="ListParagraph"/>
        <w:numPr>
          <w:ilvl w:val="0"/>
          <w:numId w:val="2"/>
        </w:numPr>
        <w:spacing w:after="80"/>
      </w:pPr>
      <w:r>
        <w:t xml:space="preserve">Two custom domains attached: stocksense360.com and stocksense360.in (plus a www variant), all pointing at the same Vercel project.</w:t>
      </w:r>
    </w:p>
    <w:p>
      <w:pPr>
        <w:pStyle w:val="Heading2"/>
      </w:pPr>
      <w:r>
        <w:t xml:space="preserve">5.3 Supabase</w:t>
      </w:r>
    </w:p>
    <w:p>
      <w:pPr>
        <w:pStyle w:val="ListParagraph"/>
        <w:numPr>
          <w:ilvl w:val="0"/>
          <w:numId w:val="2"/>
        </w:numPr>
        <w:spacing w:after="80"/>
      </w:pPr>
      <w:r>
        <w:t xml:space="preserve">Auth → URL Configuration must list every domain's /auth/callback as an allowed redirect URL, or invite/reset links silently fail.</w:t>
      </w:r>
    </w:p>
    <w:p>
      <w:pPr>
        <w:pStyle w:val="ListParagraph"/>
        <w:numPr>
          <w:ilvl w:val="0"/>
          <w:numId w:val="2"/>
        </w:numPr>
        <w:spacing w:after="80"/>
      </w:pPr>
      <w:r>
        <w:t xml:space="preserve">Custom SMTP (Resend) configured under Authentication → Emails → SMTP Settings, separate from the backend's own Resend usage for proximity alerts.</w:t>
      </w:r>
    </w:p>
    <w:p>
      <w:pPr>
        <w:pStyle w:val="Heading2"/>
      </w:pPr>
      <w:r>
        <w:t xml:space="preserve">5.4 GitHub Actions</w:t>
      </w:r>
    </w:p>
    <w:p>
      <w:pPr>
        <w:pStyle w:val="ListParagraph"/>
        <w:numPr>
          <w:ilvl w:val="0"/>
          <w:numId w:val="2"/>
        </w:numPr>
        <w:spacing w:after="80"/>
      </w:pPr>
      <w:r>
        <w:t xml:space="preserve">daily_picks.yml — fires once daily, POSTs to /api/picks/generate with the shared secret. The backend itself also has a self-healing catch-up check in case this cron is ever missed.</w:t>
      </w:r>
    </w:p>
    <w:p>
      <w:pPr>
        <w:pStyle w:val="ListParagraph"/>
        <w:numPr>
          <w:ilvl w:val="0"/>
          <w:numId w:val="2"/>
        </w:numPr>
        <w:spacing w:after="80"/>
      </w:pPr>
      <w:r>
        <w:t xml:space="preserve">keep_alive.yml — periodic ping to prevent any free-tier cold-start behavior on dependent services.</w:t>
      </w:r>
    </w:p>
    <w:p>
      <w:r>
        <w:br w:type="page"/>
      </w:r>
    </w:p>
    <w:p>
      <w:pPr>
        <w:pStyle w:val="Heading1"/>
      </w:pPr>
      <w:r>
        <w:t xml:space="preserve">6. Known Limitations &amp; Deferred Work</w:t>
      </w:r>
    </w:p>
    <w:p>
      <w:pPr>
        <w:pStyle w:val="ListParagraph"/>
        <w:numPr>
          <w:ilvl w:val="0"/>
          <w:numId w:val="2"/>
        </w:numPr>
        <w:spacing w:after="80"/>
      </w:pPr>
      <w:r>
        <w:t xml:space="preserve">Daily Picks is India (NSE) only — the US market equivalent is scoped but not yet built (tracked as a pending task). Validation already supports a US universe; Picks generation does not.</w:t>
      </w:r>
    </w:p>
    <w:p>
      <w:pPr>
        <w:pStyle w:val="ListParagraph"/>
        <w:numPr>
          <w:ilvl w:val="0"/>
          <w:numId w:val="2"/>
        </w:numPr>
        <w:spacing w:after="80"/>
      </w:pPr>
      <w:r>
        <w:t xml:space="preserve">Monetisation (subscription tiers via Razorpay) is intentionally deferred to roughly December 2026, pending 6 months of real validation track record.</w:t>
      </w:r>
    </w:p>
    <w:p>
      <w:pPr>
        <w:pStyle w:val="ListParagraph"/>
        <w:numPr>
          <w:ilvl w:val="0"/>
          <w:numId w:val="2"/>
        </w:numPr>
        <w:spacing w:after="80"/>
      </w:pPr>
      <w:r>
        <w:t xml:space="preserve">Push notifications only work while a browser tab is open (Notification API) or via email — there is no installed mobile app or PWA push channel yet.</w:t>
      </w:r>
    </w:p>
    <w:p>
      <w:pPr>
        <w:pStyle w:val="ListParagraph"/>
        <w:numPr>
          <w:ilvl w:val="0"/>
          <w:numId w:val="2"/>
        </w:numPr>
        <w:spacing w:after="80"/>
      </w:pPr>
      <w:r>
        <w:t xml:space="preserve">The fundamental-rejection screening step in Daily Picks generation is sequential (not parallelized), making a full run take ~70 minutes — acceptable for an overnight job but a candidate for optimization if the window ever tightens.</w:t>
      </w:r>
    </w:p>
    <w:p>
      <w:pPr>
        <w:spacing w:after="160"/>
      </w:pPr>
      <w:r>
        <w:t xml:space="preserve"/>
      </w:r>
    </w:p>
    <w:p>
      <w:pPr>
        <w:spacing w:after="160"/>
      </w:pPr>
      <w:r>
        <w:t xml:space="preserve">This document reflects the state of the system as of Session 7. See STOCKSENSE_DOCUMENTATION.md in the repository for the full session-by-session changelog.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ca3af"/>
        <w:sz w:val="16"/>
        <w:szCs w:val="16"/>
      </w:rPr>
      <w:t xml:space="preserve">StockSense360 — Technical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96db67e22fbe4d9252d1a7603d66d4cf72b33e.svg"/><Relationship Id="rId10" Type="http://schemas.openxmlformats.org/officeDocument/2006/relationships/image" Target="media/e1899b013a68f252a7aed73eabafc806f456b5a2.png"/><Relationship Id="rId11" Type="http://schemas.openxmlformats.org/officeDocument/2006/relationships/image" Target="media/391b58cb5ea48cd1c1edbef893ce06773e52553f.sv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2026-06-22T10:51:47.526Z</dcterms:created>
  <dcterms:modified xsi:type="dcterms:W3CDTF">2026-06-22T10:51:47.530Z</dcterms:modified>
</cp:coreProperties>
</file>

<file path=docProps/custom.xml><?xml version="1.0" encoding="utf-8"?>
<Properties xmlns="http://schemas.openxmlformats.org/officeDocument/2006/custom-properties" xmlns:vt="http://schemas.openxmlformats.org/officeDocument/2006/docPropsVTypes"/>
</file>