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23 October 2026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Multi-hospital artificial intelligence for neuro-oncology needs formal privacy guarantees, yet published federated</w:t>
      </w:r>
      <w:r>
        <w:t xml:space="preserve"> </w:t>
      </w:r>
      <w:r>
        <w:t xml:space="preserve">brain tumour classifiers rarely state an accounted budget or the protected unit, and their public benchmarks overlap.</w:t>
      </w:r>
      <w:r>
        <w:t xml:space="preserve"> </w:t>
      </w:r>
      <w:r>
        <w:t xml:space="preserve">The manuscript measures what accounted differential privacy costs and what it protects. On a deduplicated</w:t>
      </w:r>
      <w:r>
        <w:t xml:space="preserve"> </w:t>
      </w:r>
      <w:r>
        <w:t xml:space="preserve">three-source benchmark, a mirror-aware check found 66 test images with near-copies in other splits that perceptual</w:t>
      </w:r>
      <w:r>
        <w:t xml:space="preserve"> </w:t>
      </w:r>
      <w:r>
        <w:t xml:space="preserve">hashing had missed. 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0.076 in balanced accuracy for federated</w:t>
      </w:r>
      <w:r>
        <w:t xml:space="preserve"> </w:t>
      </w:r>
      <w:r>
        <w:t xml:space="preserve">and 0.130 for central training, mainly through meningioma and no-tumour sensitivity, whereas a per-patient guarantee</w:t>
      </w:r>
      <w:r>
        <w:t xml:space="preserve"> </w:t>
      </w:r>
      <w:r>
        <w:t xml:space="preserve">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 non-members matched to members by source and class, a likelihood-ratio membership attack</w:t>
      </w:r>
      <w:r>
        <w:t xml:space="preserve"> </w:t>
      </w:r>
      <w:r>
        <w:t xml:space="preserve">found 11.1% of training images at a 1% false-positive rate without privacy and 1.0% to 1.5% under record-level</w:t>
      </w:r>
      <w:r>
        <w:t xml:space="preserve"> </w:t>
      </w:r>
      <w:r>
        <w:t xml:space="preserve">privacy, not significantly above chance. An unclipped noise mechanism used in prior work still exposed training</w:t>
      </w:r>
      <w:r>
        <w:t xml:space="preserve"> </w:t>
      </w:r>
      <w:r>
        <w:t xml:space="preserve">patients (area under the curve 0.745). Grad-CAM localisation and cross-seed consistency declined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 doi:10.1016/j.intonc.2026.100071), and Jung et al. applied deep learning to small</w:t>
      </w:r>
      <w:r>
        <w:t xml:space="preserve"> </w:t>
      </w:r>
      <w:r>
        <w:t xml:space="preserve">brain metastases (Intell Oncol 2026;2(2):100049, doi:10.1016/j.intonc.2026.100049).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r>
        <w:t xml:space="preserve">doi:10.1016/j.intonc.2026.100083), and Cai discussed transparency and privacy preservation in medical artificial</w:t>
      </w:r>
      <w:r>
        <w:t xml:space="preserve"> </w:t>
      </w:r>
      <w:r>
        <w:t xml:space="preserve">intelligence (Intell Oncol 2025;1(2):172-175, doi:10.1016/j.intonc.2025.03.006).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The study used</w:t>
      </w:r>
      <w:r>
        <w:t xml:space="preserve"> </w:t>
      </w:r>
      <w:r>
        <w:t xml:space="preserve">only public, de-identified images. Code, frozen results and figure data are available at</w:t>
      </w:r>
      <w:r>
        <w:t xml:space="preserve"> </w:t>
      </w:r>
      <w:hyperlink r:id="rId20">
        <w:r>
          <w:rPr>
            <w:rStyle w:val="Hyperlink"/>
          </w:rPr>
          <w:t xml:space="preserve">https://github.com/shashiranjan-jnu/dpfl-braintumor</w:t>
        </w:r>
      </w:hyperlink>
      <w:r>
        <w:t xml:space="preserve">, archived on Zenodo under doi:10.5281/zenodo.23601090.</w:t>
      </w:r>
    </w:p>
    <w:p>
      <w:pPr>
        <w:pStyle w:val="BodyText"/>
      </w:pPr>
      <w:r>
        <w:t xml:space="preserve">Suggested reviewers, with no collaboration with the authors in the past five years: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Institutional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github.com/shashiranjan-jnu/dpfl-braintum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shashiranjan-jnu/dpfl-braintum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2026-10-23T16:47:34Z</dcterms:created>
  <dcterms:modified xsi:type="dcterms:W3CDTF">2026-10-23T16:47:34Z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