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 merged collections contain duplicates, and privacy</w:t>
      </w:r>
      <w:r>
        <w:t xml:space="preserve"> </w:t>
      </w:r>
      <w:r>
        <w:t xml:space="preserve">claims rarely state an accounted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per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record-level and patient-level DP stochastic gradient</w:t>
      </w:r>
      <w:r>
        <w:t xml:space="preserve"> </w:t>
      </w:r>
      <w:r>
        <w:t xml:space="preserve">descent with Rényi accounting 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and five seeds. Leakage was audited with a likelihood-ratio attack (LiRA,</w:t>
      </w:r>
      <w:r>
        <w:t xml:space="preserve"> </w:t>
      </w:r>
      <w:r>
        <w:t xml:space="preserve">16 shadow models),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Without DP, LiRA</w:t>
      </w:r>
      <w:r>
        <w:t xml:space="preserve"> </w:t>
      </w:r>
      <w:r>
        <w:t xml:space="preserve">found 10.8% of training images at a 1% false-positive rate and separated training from test patients with an area</w:t>
      </w:r>
      <w:r>
        <w:t xml:space="preserve"> </w:t>
      </w:r>
      <w:r>
        <w:t xml:space="preserve">under the curve (AUC) of 0.805, whereas DP kept the attack at chance. Unclipped weight noise at matched utility still</w:t>
      </w:r>
      <w:r>
        <w:t xml:space="preserve"> </w:t>
      </w:r>
      <w:r>
        <w:t xml:space="preserve">exposed patients (AUC 0.745). Grad-CAM consistency across seeds fell from 0.700 to 0.235, tracking accuracy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leakage at a balanced-accuracy</w:t>
      </w:r>
      <w:r>
        <w:t xml:space="preserve"> </w:t>
      </w:r>
      <w:r>
        <w:t xml:space="preserve">cost of 0.076 (federated) to 0.130 (central), whereas per-patient guarantees cost far more at this scale. Costs</w:t>
      </w:r>
      <w:r>
        <w:t xml:space="preserve"> </w:t>
      </w:r>
      <w:r>
        <w:t xml:space="preserve">in real hospital consortia remain untested, because clients were simulated from public data.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its clinical value depends on training data drawn from many hospitals.</w:t>
      </w:r>
      <w:r>
        <w:rPr>
          <w:vertAlign w:val="superscript"/>
        </w:rPr>
        <w:t xml:space="preserve">1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2-4</w:t>
      </w:r>
    </w:p>
    <w:p>
      <w:pPr>
        <w:pStyle w:val="BodyText"/>
        <w:spacing w:line="480" w:lineRule="auto"/>
        <w:jc w:val="left"/>
      </w:pPr>
      <w:r>
        <w:t xml:space="preserve">Sharing model updates is not the same as protecting patients, because updates and released models can reveal</w:t>
      </w:r>
      <w:r>
        <w:t xml:space="preserve"> </w:t>
      </w:r>
      <w:r>
        <w:t xml:space="preserve">whether a person contributed data.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9-11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17-19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28-30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without DP, stayed at chance under every DP setting, and still detected patients under an unclipped</w:t>
      </w:r>
      <w:r>
        <w:t xml:space="preserve"> </w:t>
      </w:r>
      <w:r>
        <w:t xml:space="preserve">weight-noise mechanism of matched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, and the noise multiplier added no</w:t>
      </w:r>
      <w:r>
        <w:t xml:space="preserve"> </w:t>
      </w:r>
      <w:r>
        <w:t xml:space="preserve">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study pursues three goals, namely the accuracy</w:t>
      </w:r>
      <w:r>
        <w:t xml:space="preserve"> </w:t>
      </w:r>
      <w:r>
        <w:t xml:space="preserve">cost of each 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learning-rate search adds a privacy cost that is reported but not calibrated.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640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28,31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7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19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32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33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34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24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35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36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37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38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pixels of each 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</w:t>
      </w:r>
      <w:r>
        <w:t xml:space="preserve"> </w:t>
      </w:r>
      <w:r>
        <w:t xml:space="preserve">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40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about 59 GPU hours [CHECK: the lab notebook gives 52 hours to the end of Phase 3 and</w:t>
      </w:r>
      <w:r>
        <w:t xml:space="preserve"> </w:t>
      </w:r>
      <w:r>
        <w:t xml:space="preserve">1.7, 4.7 and 0.3 hours for the audit runs, 58.7 hours in all].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Metrics are reported to three</w:t>
      </w:r>
      <w:r>
        <w:t xml:space="preserve"> </w:t>
      </w:r>
      <w:r>
        <w:t xml:space="preserve">decimal places and</w:t>
      </w:r>
      <w:r>
        <w:t xml:space="preserve"> </w:t>
      </w:r>
      <m:oMath>
        <m:r>
          <m:t>p</m:t>
        </m:r>
      </m:oMath>
      <w:r>
        <w:t xml:space="preserve">-values to three 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These methods produced the measurements</w:t>
      </w:r>
      <w:r>
        <w:t xml:space="preserve"> </w:t>
      </w:r>
      <w:r>
        <w:t xml:space="preserve">reported next, starting with the benchmark itself.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correspondingly weak per patient, because a Figshare patient contributes a median of</w:t>
      </w:r>
      <w:r>
        <w:t xml:space="preserve"> </w:t>
      </w:r>
      <w:r>
        <w:t xml:space="preserve">13 slices and group privacy bounds that patient’s privacy loss only at about 13 times the per-image budget.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4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and summed over slices it</w:t>
      </w:r>
      <w:r>
        <w:t xml:space="preserve"> </w:t>
      </w:r>
      <w:r>
        <w:t xml:space="preserve">separated training from test patients with AUC 0.805.</w:t>
      </w:r>
    </w:p>
    <w:p>
      <w:pPr>
        <w:pStyle w:val="TableCaption"/>
        <w:jc w:val="left"/>
      </w:pPr>
      <w:r>
        <w:t xml:space="preserve">Table 4.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Online LiRA against FedAvg on the natural partition, mean (95% CI) over five target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TPR at 1% FPR stayed between 0.010 and 0.017, the level of a random guess. Average-case AUC</w:t>
      </w:r>
      <w:r>
        <w:t xml:space="preserve"> </w:t>
      </w:r>
      <w:r>
        <w:t xml:space="preserve">under DP moved slightly away from 0.5 in both directions, which likely reflects the smaller training sets of the shadow</w:t>
      </w:r>
      <w:r>
        <w:t xml:space="preserve"> </w:t>
      </w:r>
      <w:r>
        <w:t xml:space="preserve">models, since the low-FPR tail stayed at chance.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</w:t>
      </w:r>
      <w:r>
        <w:t xml:space="preserve"> </w:t>
      </w:r>
      <w:r>
        <w:t xml:space="preserve">found 4.5% of training images at 1% FPR and separated 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(0.01758),</w:t>
      </w:r>
      <w:r>
        <w:t xml:space="preserve"> </w:t>
      </w:r>
      <w:r>
        <w:t xml:space="preserve">so these values remain above chance but far from precise localisation.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(a) and against accuracy (b).</w:t>
      </w:r>
    </w:p>
    <w:p>
      <w:pPr>
        <w:pStyle w:val="BodyText"/>
        <w:spacing w:line="480" w:lineRule="auto"/>
        <w:jc w:val="left"/>
      </w:pPr>
      <w:r>
        <w:t xml:space="preserve">Across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(Fig. 5b),</w:t>
      </w:r>
      <w:r>
        <w:t xml:space="preserve"> </w:t>
      </w:r>
      <w:r>
        <w:t xml:space="preserve">and across 111 models with correctly classified masked images,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. With</w:t>
      </w:r>
      <w:r>
        <w:t xml:space="preserve"> </w:t>
      </w:r>
      <w:r>
        <w:t xml:space="preserve">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 IoU (</w:t>
      </w:r>
      <m:oMath>
        <m:r>
          <m:t>p</m:t>
        </m:r>
        <m:r>
          <m:rPr>
            <m:sty m:val="p"/>
          </m:rPr>
          <m:t>=</m:t>
        </m:r>
        <m:r>
          <m:t>0.834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,</w:t>
      </w:r>
      <w:r>
        <w:t xml:space="preserve"> </w:t>
      </w:r>
      <w:r>
        <w:t xml:space="preserve">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passed,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 0.388, so its numbers are the ones</w:t>
      </w:r>
      <w:r>
        <w:t xml:space="preserve"> </w:t>
      </w:r>
      <w:r>
        <w:t xml:space="preserve">interpreted here.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 These measurements raise the question</w:t>
      </w:r>
      <w:r>
        <w:t xml:space="preserve"> </w:t>
      </w:r>
      <w:r>
        <w:t xml:space="preserve">of what the privacy budget actually buys, which Section 4 addresses.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agree. Without DP, a federated model trained on 2610 images leaked enough for LiRA to flag</w:t>
      </w:r>
      <w:r>
        <w:t xml:space="preserve"> </w:t>
      </w:r>
      <w:r>
        <w:t xml:space="preserve">one training image in ten at 1% FPR, and aggregating over slices made the patient-level signal stronger still (AUC</w:t>
      </w:r>
      <w:r>
        <w:t xml:space="preserve"> </w:t>
      </w:r>
      <w:r>
        <w:t xml:space="preserve">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 at a cost of 0.076 for FedAvg on the natural</w:t>
      </w:r>
      <w:r>
        <w:t xml:space="preserve"> </w:t>
      </w:r>
      <w:r>
        <w:t xml:space="preserve">partition and 0.130 centrally. The result agrees with reports that moderate budgets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although an attack that fails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destroys the model.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11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Eq. (4) accounts for the trend, because each</w:t>
      </w:r>
      <w:r>
        <w:t xml:space="preserve"> </w:t>
      </w:r>
      <w:r>
        <w:t xml:space="preserve">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for IoU),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A private model’s explanations</w:t>
      </w:r>
      <w:r>
        <w:t xml:space="preserve"> </w:t>
      </w:r>
      <w:r>
        <w:t xml:space="preserve">therefore appear about as trustworthy as its predictions, and the small change under clipping alone (0.700 to 0.663)</w:t>
      </w:r>
      <w:r>
        <w:t xml:space="preserve"> </w:t>
      </w:r>
      <w:r>
        <w:t xml:space="preserve">indicates that noise acts 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</w:t>
      </w:r>
      <w:r>
        <w:t xml:space="preserve"> </w:t>
      </w:r>
      <w:r>
        <w:t xml:space="preserve">the last ResNet block at 128-pixel input.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27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All models are two-dimensional ResNet-18 classifiers on axial slices from three public sources, and</w:t>
      </w:r>
      <w:r>
        <w:t xml:space="preserve"> </w:t>
      </w:r>
      <w:r>
        <w:t xml:space="preserve">the federated partitions were simulated, not drawn from real institutions. Learning rates were chosen on private</w:t>
      </w:r>
      <w:r>
        <w:t xml:space="preserve"> </w:t>
      </w:r>
      <w:r>
        <w:t xml:space="preserve">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reported but was not used for calibration.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held a likelihood-ratio</w:t>
      </w:r>
      <w:r>
        <w:t xml:space="preserve"> </w:t>
      </w:r>
      <w:r>
        <w:t xml:space="preserve">membership attack at chance for both images and patients, while the same attack exposed non-private models. The price</w:t>
      </w:r>
      <w:r>
        <w:t xml:space="preserve"> </w:t>
      </w:r>
      <w:r>
        <w:t xml:space="preserve">was a balanced-accuracy loss of 0.076 for federated and 0.130 for central training.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and study larger patient cohorts in which per-patient guarantees become</w:t>
      </w:r>
      <w:r>
        <w:t xml:space="preserve"> </w:t>
      </w:r>
      <w:r>
        <w:t xml:space="preserve">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 [CHECK: roles proposed from the author list, to be confirmed by the authors]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 [CHECK: confirm the waiver with the</w:t>
      </w:r>
      <w:r>
        <w:t xml:space="preserve"> </w:t>
      </w:r>
      <w:r>
        <w:t xml:space="preserve">institutional ethics committee]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28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30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v0.9.5-results-frozen.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 [CHECK: add any further acknowledgements]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2026-10-21T16:12:25Z</dcterms:created>
  <dcterms:modified xsi:type="dcterms:W3CDTF">2026-10-21T16:12:25Z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